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241D8"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596E64" w:rsidRDefault="009241D8" w:rsidP="009241D8">
                <w:pPr>
                  <w:suppressLineNumbers/>
                  <w:rPr>
                    <w:rFonts w:ascii="Arial" w:hAnsi="Arial"/>
                    <w:b/>
                    <w:bCs/>
                    <w:noProof w:val="0"/>
                    <w:sz w:val="26"/>
                    <w:szCs w:val="26"/>
                    <w:rtl/>
                  </w:rPr>
                </w:pPr>
                <w:r>
                  <w:rPr>
                    <w:rFonts w:ascii="Arial" w:hAnsi="Arial" w:hint="cs"/>
                    <w:b/>
                    <w:bCs/>
                    <w:noProof w:val="0"/>
                    <w:sz w:val="26"/>
                    <w:szCs w:val="26"/>
                    <w:rtl/>
                  </w:rPr>
                  <w:t>ה</w:t>
                </w:r>
                <w:r w:rsidR="0018148A">
                  <w:rPr>
                    <w:rFonts w:ascii="Arial" w:hAnsi="Arial"/>
                    <w:b/>
                    <w:bCs/>
                    <w:noProof w:val="0"/>
                    <w:sz w:val="26"/>
                    <w:szCs w:val="26"/>
                    <w:rtl/>
                  </w:rPr>
                  <w:t>מערער</w:t>
                </w:r>
              </w:p>
            </w:sdtContent>
          </w:sdt>
        </w:tc>
        <w:tc>
          <w:tcPr>
            <w:tcW w:w="5571" w:type="dxa"/>
          </w:tcPr>
          <w:p w:rsidR="00FA7FD0" w:rsidRDefault="00FA7FD0" w:rsidP="00D44968">
            <w:pPr>
              <w:suppressLineNumbers/>
              <w:rPr>
                <w:rtl/>
              </w:rPr>
            </w:pPr>
          </w:p>
          <w:p w:rsidR="0094424E" w:rsidRDefault="00184629"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E09EC">
                  <w:rPr>
                    <w:rFonts w:ascii="Arial" w:hAnsi="Arial"/>
                    <w:b/>
                    <w:bCs/>
                    <w:noProof w:val="0"/>
                    <w:sz w:val="26"/>
                    <w:szCs w:val="26"/>
                    <w:rtl/>
                  </w:rPr>
                  <w:t>ג'אבר אבו מוסא</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84629" w:rsidP="00D44968">
            <w:pPr>
              <w:suppressLineNumbers/>
              <w:rPr>
                <w:rFonts w:ascii="Arial" w:hAnsi="Arial"/>
                <w:b/>
                <w:bCs/>
                <w:noProof w:val="0"/>
                <w:sz w:val="26"/>
                <w:szCs w:val="26"/>
              </w:rPr>
            </w:pPr>
            <w:sdt>
              <w:sdtPr>
                <w:rPr>
                  <w:rtl/>
                </w:rPr>
                <w:alias w:val="1184"/>
                <w:tag w:val="1184"/>
                <w:id w:val="-340621022"/>
                <w:text w:multiLine="1"/>
              </w:sdtPr>
              <w:sdtEndPr/>
              <w:sdtContent>
                <w:r w:rsidR="0018148A">
                  <w:rPr>
                    <w:rFonts w:ascii="Arial" w:hAnsi="Arial" w:hint="cs"/>
                    <w:b/>
                    <w:bCs/>
                    <w:noProof w:val="0"/>
                    <w:sz w:val="26"/>
                    <w:szCs w:val="26"/>
                    <w:rtl/>
                  </w:rPr>
                  <w:t>ה</w:t>
                </w:r>
                <w:r w:rsidR="0018148A">
                  <w:rPr>
                    <w:rFonts w:ascii="Arial" w:hAnsi="Arial"/>
                    <w:b/>
                    <w:bCs/>
                    <w:noProof w:val="0"/>
                    <w:sz w:val="26"/>
                    <w:szCs w:val="26"/>
                    <w:rtl/>
                  </w:rPr>
                  <w:t>משיב</w:t>
                </w:r>
              </w:sdtContent>
            </w:sdt>
          </w:p>
        </w:tc>
        <w:tc>
          <w:tcPr>
            <w:tcW w:w="5571" w:type="dxa"/>
          </w:tcPr>
          <w:p w:rsidR="00CF6BB7" w:rsidRPr="00CD516B" w:rsidRDefault="00184629" w:rsidP="0018148A">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18148A">
                  <w:rPr>
                    <w:rFonts w:ascii="Arial" w:hAnsi="Arial" w:hint="cs"/>
                    <w:b/>
                    <w:bCs/>
                    <w:noProof w:val="0"/>
                    <w:sz w:val="26"/>
                    <w:szCs w:val="26"/>
                    <w:rtl/>
                  </w:rPr>
                  <w:t xml:space="preserve">פקיד שומה באר שבע </w:t>
                </w:r>
              </w:sdtContent>
            </w:sdt>
          </w:p>
        </w:tc>
      </w:tr>
      <w:tr w:rsidR="004C17EE" w:rsidTr="00D620FD">
        <w:trPr>
          <w:jc w:val="center"/>
        </w:trPr>
        <w:tc>
          <w:tcPr>
            <w:tcW w:w="8820" w:type="dxa"/>
            <w:gridSpan w:val="3"/>
          </w:tcPr>
          <w:p w:rsidR="00596E64" w:rsidRDefault="00596E64">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18148A" w:rsidRDefault="0018148A" w:rsidP="00A44B39">
      <w:pPr>
        <w:numPr>
          <w:ilvl w:val="0"/>
          <w:numId w:val="1"/>
        </w:numPr>
        <w:spacing w:after="160" w:line="360" w:lineRule="auto"/>
        <w:contextualSpacing/>
        <w:jc w:val="both"/>
        <w:rPr>
          <w:rFonts w:ascii="David" w:hAnsi="David"/>
          <w:sz w:val="26"/>
          <w:szCs w:val="26"/>
        </w:rPr>
      </w:pPr>
      <w:bookmarkStart w:id="0" w:name="NGCSBookmark"/>
      <w:bookmarkEnd w:id="0"/>
      <w:r>
        <w:rPr>
          <w:rFonts w:ascii="David" w:hAnsi="David"/>
          <w:sz w:val="26"/>
          <w:szCs w:val="26"/>
          <w:rtl/>
        </w:rPr>
        <w:t xml:space="preserve">בקשה לחייב את המערער בהפקדת ערובה להבטחת הוצאות המשיב, ככל שהערעור ידחה וככל שייפסקו לטובת המשיב הוצאות משפט, בהתאם לתקנה 157(א), </w:t>
      </w:r>
      <w:r w:rsidRPr="005F0F25">
        <w:rPr>
          <w:rFonts w:ascii="David" w:hAnsi="David"/>
          <w:b/>
          <w:bCs/>
          <w:sz w:val="26"/>
          <w:szCs w:val="26"/>
          <w:rtl/>
        </w:rPr>
        <w:t>לתקנות סדר הדין האזרחי</w:t>
      </w:r>
      <w:r w:rsidR="00A44B39" w:rsidRPr="005F0F25">
        <w:rPr>
          <w:rFonts w:ascii="David" w:hAnsi="David" w:hint="cs"/>
          <w:b/>
          <w:bCs/>
          <w:sz w:val="26"/>
          <w:szCs w:val="26"/>
          <w:rtl/>
        </w:rPr>
        <w:t>,</w:t>
      </w:r>
      <w:r w:rsidRPr="005F0F25">
        <w:rPr>
          <w:rFonts w:ascii="David" w:hAnsi="David"/>
          <w:b/>
          <w:bCs/>
          <w:sz w:val="26"/>
          <w:szCs w:val="26"/>
          <w:rtl/>
        </w:rPr>
        <w:t xml:space="preserve"> תשע"ט-2018</w:t>
      </w:r>
      <w:r>
        <w:rPr>
          <w:rFonts w:ascii="David" w:hAnsi="David"/>
          <w:sz w:val="26"/>
          <w:szCs w:val="26"/>
          <w:rtl/>
        </w:rPr>
        <w:t xml:space="preserve"> (להלן: "</w:t>
      </w:r>
      <w:r>
        <w:rPr>
          <w:rFonts w:ascii="David" w:hAnsi="David"/>
          <w:b/>
          <w:bCs/>
          <w:sz w:val="26"/>
          <w:szCs w:val="26"/>
          <w:rtl/>
        </w:rPr>
        <w:t>תקנות סדר הדין האזרחי"</w:t>
      </w:r>
      <w:r w:rsidR="00A44B39">
        <w:rPr>
          <w:rFonts w:ascii="David" w:hAnsi="David"/>
          <w:sz w:val="26"/>
          <w:szCs w:val="26"/>
          <w:rtl/>
        </w:rPr>
        <w:t>)</w:t>
      </w:r>
      <w:r>
        <w:rPr>
          <w:rFonts w:ascii="David" w:hAnsi="David"/>
          <w:b/>
          <w:bCs/>
          <w:sz w:val="26"/>
          <w:szCs w:val="26"/>
          <w:rtl/>
        </w:rPr>
        <w:t xml:space="preserve">. </w:t>
      </w:r>
    </w:p>
    <w:p w:rsidR="0018148A" w:rsidRDefault="0018148A" w:rsidP="00A44B39">
      <w:pPr>
        <w:numPr>
          <w:ilvl w:val="0"/>
          <w:numId w:val="1"/>
        </w:numPr>
        <w:spacing w:after="160" w:line="360" w:lineRule="auto"/>
        <w:contextualSpacing/>
        <w:jc w:val="both"/>
        <w:rPr>
          <w:rFonts w:ascii="David" w:hAnsi="David"/>
          <w:sz w:val="26"/>
          <w:szCs w:val="26"/>
        </w:rPr>
      </w:pPr>
      <w:r>
        <w:rPr>
          <w:rFonts w:ascii="David" w:hAnsi="David"/>
          <w:sz w:val="26"/>
          <w:szCs w:val="26"/>
          <w:rtl/>
        </w:rPr>
        <w:t>המערער, בעל מניות בשיעור 100% בחברת הובלות אבו מוסא סאבר בע"מ</w:t>
      </w:r>
      <w:r w:rsidR="00A44B39">
        <w:rPr>
          <w:rFonts w:ascii="David" w:hAnsi="David" w:hint="cs"/>
          <w:sz w:val="26"/>
          <w:szCs w:val="26"/>
          <w:rtl/>
        </w:rPr>
        <w:t>,</w:t>
      </w:r>
      <w:r>
        <w:rPr>
          <w:rFonts w:ascii="David" w:hAnsi="David"/>
          <w:sz w:val="26"/>
          <w:szCs w:val="26"/>
          <w:rtl/>
        </w:rPr>
        <w:t xml:space="preserve"> העוסקת בעבודות עפר והובלות (להלן: "החברה")</w:t>
      </w:r>
      <w:r w:rsidR="00A44B39">
        <w:rPr>
          <w:rFonts w:ascii="David" w:hAnsi="David" w:hint="cs"/>
          <w:sz w:val="26"/>
          <w:szCs w:val="26"/>
          <w:rtl/>
        </w:rPr>
        <w:t>. ה</w:t>
      </w:r>
      <w:r>
        <w:rPr>
          <w:rFonts w:ascii="David" w:hAnsi="David"/>
          <w:sz w:val="26"/>
          <w:szCs w:val="26"/>
          <w:rtl/>
        </w:rPr>
        <w:t>ערע</w:t>
      </w:r>
      <w:r w:rsidR="00A44B39">
        <w:rPr>
          <w:rFonts w:ascii="David" w:hAnsi="David" w:hint="cs"/>
          <w:sz w:val="26"/>
          <w:szCs w:val="26"/>
          <w:rtl/>
        </w:rPr>
        <w:t>ו</w:t>
      </w:r>
      <w:r>
        <w:rPr>
          <w:rFonts w:ascii="David" w:hAnsi="David"/>
          <w:sz w:val="26"/>
          <w:szCs w:val="26"/>
          <w:rtl/>
        </w:rPr>
        <w:t xml:space="preserve">ר </w:t>
      </w:r>
      <w:r w:rsidR="00A44B39">
        <w:rPr>
          <w:rFonts w:ascii="David" w:hAnsi="David" w:hint="cs"/>
          <w:sz w:val="26"/>
          <w:szCs w:val="26"/>
          <w:rtl/>
        </w:rPr>
        <w:t xml:space="preserve">הוגש </w:t>
      </w:r>
      <w:r>
        <w:rPr>
          <w:rFonts w:ascii="David" w:hAnsi="David"/>
          <w:sz w:val="26"/>
          <w:szCs w:val="26"/>
          <w:rtl/>
        </w:rPr>
        <w:t xml:space="preserve">בהתאם להוראות סעיף 153 </w:t>
      </w:r>
      <w:r>
        <w:rPr>
          <w:rFonts w:ascii="David" w:hAnsi="David"/>
          <w:b/>
          <w:bCs/>
          <w:sz w:val="26"/>
          <w:szCs w:val="26"/>
          <w:rtl/>
        </w:rPr>
        <w:t>לפקודת מס הכנסה [נוסח חדש], התשכ"א- 1961</w:t>
      </w:r>
      <w:r>
        <w:rPr>
          <w:rFonts w:ascii="David" w:hAnsi="David"/>
          <w:sz w:val="26"/>
          <w:szCs w:val="26"/>
          <w:rtl/>
        </w:rPr>
        <w:t xml:space="preserve"> (להלן- "</w:t>
      </w:r>
      <w:r>
        <w:rPr>
          <w:rFonts w:ascii="David" w:hAnsi="David"/>
          <w:b/>
          <w:bCs/>
          <w:sz w:val="26"/>
          <w:szCs w:val="26"/>
          <w:rtl/>
        </w:rPr>
        <w:t>פקודת מס הכנסה</w:t>
      </w:r>
      <w:r>
        <w:rPr>
          <w:rFonts w:ascii="David" w:hAnsi="David"/>
          <w:sz w:val="26"/>
          <w:szCs w:val="26"/>
          <w:rtl/>
        </w:rPr>
        <w:t xml:space="preserve">"), </w:t>
      </w:r>
      <w:r w:rsidR="00A44B39">
        <w:rPr>
          <w:rFonts w:ascii="David" w:hAnsi="David"/>
          <w:sz w:val="26"/>
          <w:szCs w:val="26"/>
          <w:rtl/>
        </w:rPr>
        <w:t xml:space="preserve">על צו שהוציא המשיב, </w:t>
      </w:r>
      <w:r>
        <w:rPr>
          <w:rFonts w:ascii="David" w:hAnsi="David"/>
          <w:sz w:val="26"/>
          <w:szCs w:val="26"/>
          <w:rtl/>
        </w:rPr>
        <w:t xml:space="preserve">שבגדרו </w:t>
      </w:r>
      <w:r w:rsidR="00A44B39">
        <w:rPr>
          <w:rFonts w:ascii="David" w:hAnsi="David" w:hint="cs"/>
          <w:sz w:val="26"/>
          <w:szCs w:val="26"/>
          <w:rtl/>
        </w:rPr>
        <w:t>נ</w:t>
      </w:r>
      <w:r>
        <w:rPr>
          <w:rFonts w:ascii="David" w:hAnsi="David"/>
          <w:sz w:val="26"/>
          <w:szCs w:val="26"/>
          <w:rtl/>
        </w:rPr>
        <w:t xml:space="preserve">קבע כי בהכנסה החייבת של המערער בשנות המס 2016- </w:t>
      </w:r>
      <w:r w:rsidR="00A44B39">
        <w:rPr>
          <w:rFonts w:ascii="David" w:hAnsi="David"/>
          <w:sz w:val="26"/>
          <w:szCs w:val="26"/>
          <w:rtl/>
        </w:rPr>
        <w:t xml:space="preserve">2017 קיים גידול הון בלתי מוסבר </w:t>
      </w:r>
      <w:r>
        <w:rPr>
          <w:rFonts w:ascii="David" w:hAnsi="David"/>
          <w:sz w:val="26"/>
          <w:szCs w:val="26"/>
          <w:rtl/>
        </w:rPr>
        <w:t xml:space="preserve">בסך 2,263,247 ₪. </w:t>
      </w:r>
    </w:p>
    <w:p w:rsidR="0018148A" w:rsidRDefault="0018148A" w:rsidP="00633191">
      <w:pPr>
        <w:numPr>
          <w:ilvl w:val="0"/>
          <w:numId w:val="1"/>
        </w:numPr>
        <w:spacing w:after="160" w:line="360" w:lineRule="auto"/>
        <w:contextualSpacing/>
        <w:jc w:val="both"/>
        <w:rPr>
          <w:rFonts w:ascii="David" w:hAnsi="David"/>
          <w:sz w:val="26"/>
          <w:szCs w:val="26"/>
        </w:rPr>
      </w:pPr>
      <w:r>
        <w:rPr>
          <w:rFonts w:ascii="David" w:hAnsi="David"/>
          <w:sz w:val="26"/>
          <w:szCs w:val="26"/>
          <w:rtl/>
        </w:rPr>
        <w:t xml:space="preserve">המערער </w:t>
      </w:r>
      <w:r w:rsidR="00A44B39">
        <w:rPr>
          <w:rFonts w:ascii="David" w:hAnsi="David" w:hint="cs"/>
          <w:sz w:val="26"/>
          <w:szCs w:val="26"/>
          <w:rtl/>
        </w:rPr>
        <w:t>טען</w:t>
      </w:r>
      <w:r>
        <w:rPr>
          <w:rFonts w:ascii="David" w:hAnsi="David"/>
          <w:sz w:val="26"/>
          <w:szCs w:val="26"/>
          <w:rtl/>
        </w:rPr>
        <w:t xml:space="preserve"> בערעור</w:t>
      </w:r>
      <w:r w:rsidR="00A44B39">
        <w:rPr>
          <w:rFonts w:ascii="David" w:hAnsi="David" w:hint="cs"/>
          <w:sz w:val="26"/>
          <w:szCs w:val="26"/>
          <w:rtl/>
        </w:rPr>
        <w:t>ו</w:t>
      </w:r>
      <w:r>
        <w:rPr>
          <w:rFonts w:ascii="David" w:hAnsi="David"/>
          <w:sz w:val="26"/>
          <w:szCs w:val="26"/>
          <w:rtl/>
        </w:rPr>
        <w:t xml:space="preserve"> כי מקור גידול ההון בעיקר בהלוואות שניתנו ממספר גורמים, </w:t>
      </w:r>
      <w:r w:rsidR="00A44B39">
        <w:rPr>
          <w:rFonts w:ascii="David" w:hAnsi="David" w:hint="cs"/>
          <w:sz w:val="26"/>
          <w:szCs w:val="26"/>
          <w:rtl/>
        </w:rPr>
        <w:t>לרבות</w:t>
      </w:r>
      <w:r>
        <w:rPr>
          <w:rFonts w:ascii="David" w:hAnsi="David"/>
          <w:sz w:val="26"/>
          <w:szCs w:val="26"/>
          <w:rtl/>
        </w:rPr>
        <w:t xml:space="preserve"> הלוואה בסכום של למעלה ממיליון ₪ </w:t>
      </w:r>
      <w:r w:rsidR="00633191">
        <w:rPr>
          <w:rFonts w:ascii="David" w:hAnsi="David" w:hint="cs"/>
          <w:sz w:val="26"/>
          <w:szCs w:val="26"/>
          <w:rtl/>
        </w:rPr>
        <w:t xml:space="preserve">אשר ניתנה לו </w:t>
      </w:r>
      <w:r>
        <w:rPr>
          <w:rFonts w:ascii="David" w:hAnsi="David"/>
          <w:sz w:val="26"/>
          <w:szCs w:val="26"/>
          <w:rtl/>
        </w:rPr>
        <w:t xml:space="preserve">מאדם ברשות הפלסטינית. </w:t>
      </w:r>
    </w:p>
    <w:p w:rsidR="0018148A" w:rsidRDefault="0018148A" w:rsidP="0018148A">
      <w:pPr>
        <w:numPr>
          <w:ilvl w:val="0"/>
          <w:numId w:val="1"/>
        </w:numPr>
        <w:spacing w:after="160" w:line="360" w:lineRule="auto"/>
        <w:contextualSpacing/>
        <w:jc w:val="both"/>
        <w:rPr>
          <w:rFonts w:cstheme="minorBidi"/>
          <w:b/>
          <w:bCs/>
          <w:noProof w:val="0"/>
          <w:sz w:val="26"/>
          <w:szCs w:val="26"/>
          <w:u w:val="single"/>
        </w:rPr>
      </w:pPr>
      <w:r>
        <w:rPr>
          <w:rFonts w:ascii="David" w:hAnsi="David"/>
          <w:sz w:val="26"/>
          <w:szCs w:val="26"/>
          <w:rtl/>
        </w:rPr>
        <w:t xml:space="preserve">ביום 7.11.2022 ניתן צו לפתיחת הליכי חדלות פרעון בעניינו של המערער ע"י הממונה על חדלות פרעון ושיקום כלכלי, בהליך חדל"פ 1376-10-22. על פי הודעת הנאמנת בהליך חדלות הפירעון, הוגשו נגד המערער 19 תביעות חוב בסך כולל של 6,747,062 ₪ מתוכם תביעת חוב </w:t>
      </w:r>
      <w:r w:rsidR="00633191">
        <w:rPr>
          <w:rFonts w:ascii="David" w:hAnsi="David" w:hint="cs"/>
          <w:sz w:val="26"/>
          <w:szCs w:val="26"/>
          <w:rtl/>
        </w:rPr>
        <w:t xml:space="preserve">מטעם </w:t>
      </w:r>
      <w:r>
        <w:rPr>
          <w:rFonts w:ascii="David" w:hAnsi="David"/>
          <w:sz w:val="26"/>
          <w:szCs w:val="26"/>
          <w:rtl/>
        </w:rPr>
        <w:t xml:space="preserve">המשיב בסך של 3,064,154 ₪ כחוב כללי. </w:t>
      </w:r>
    </w:p>
    <w:p w:rsidR="0018148A" w:rsidRDefault="0018148A" w:rsidP="0018148A">
      <w:pPr>
        <w:spacing w:line="360" w:lineRule="auto"/>
        <w:ind w:left="720"/>
        <w:contextualSpacing/>
        <w:jc w:val="both"/>
        <w:rPr>
          <w:rFonts w:ascii="David" w:hAnsi="David"/>
          <w:b/>
          <w:bCs/>
          <w:sz w:val="26"/>
          <w:szCs w:val="26"/>
          <w:u w:val="single"/>
        </w:rPr>
      </w:pPr>
    </w:p>
    <w:p w:rsidR="0018148A" w:rsidRDefault="0018148A" w:rsidP="0018148A">
      <w:pPr>
        <w:spacing w:line="360" w:lineRule="auto"/>
        <w:jc w:val="both"/>
        <w:rPr>
          <w:rFonts w:ascii="David" w:eastAsiaTheme="minorHAnsi" w:hAnsi="David"/>
          <w:b/>
          <w:bCs/>
          <w:sz w:val="26"/>
          <w:szCs w:val="26"/>
          <w:u w:val="single"/>
        </w:rPr>
      </w:pPr>
      <w:r>
        <w:rPr>
          <w:rFonts w:ascii="David" w:hAnsi="David"/>
          <w:b/>
          <w:bCs/>
          <w:sz w:val="26"/>
          <w:szCs w:val="26"/>
          <w:u w:val="single"/>
          <w:rtl/>
        </w:rPr>
        <w:t xml:space="preserve">הבקשה להפקדת ערובה ועמדות הצדדים </w:t>
      </w:r>
    </w:p>
    <w:p w:rsidR="0018148A" w:rsidRDefault="0018148A" w:rsidP="0018148A">
      <w:pPr>
        <w:numPr>
          <w:ilvl w:val="0"/>
          <w:numId w:val="1"/>
        </w:numPr>
        <w:spacing w:after="200" w:line="360" w:lineRule="auto"/>
        <w:jc w:val="both"/>
        <w:rPr>
          <w:rFonts w:ascii="David" w:hAnsi="David"/>
          <w:sz w:val="26"/>
          <w:szCs w:val="26"/>
          <w:rtl/>
        </w:rPr>
      </w:pPr>
      <w:r>
        <w:rPr>
          <w:rFonts w:ascii="David" w:hAnsi="David"/>
          <w:sz w:val="26"/>
          <w:szCs w:val="26"/>
          <w:rtl/>
        </w:rPr>
        <w:t>בבקשה טען המשיב, כי בענייננו למערער אין כל יכולת לשלם את הוצאותיו ככל שהערעור ידחה, וככל שיפסקו לטובתו הוצאות משפט, ועל כן יש לחייב</w:t>
      </w:r>
      <w:r w:rsidR="00633191">
        <w:rPr>
          <w:rFonts w:ascii="David" w:hAnsi="David" w:hint="cs"/>
          <w:sz w:val="26"/>
          <w:szCs w:val="26"/>
          <w:rtl/>
        </w:rPr>
        <w:t>ו</w:t>
      </w:r>
      <w:r>
        <w:rPr>
          <w:rFonts w:ascii="David" w:hAnsi="David"/>
          <w:sz w:val="26"/>
          <w:szCs w:val="26"/>
          <w:rtl/>
        </w:rPr>
        <w:t xml:space="preserve"> בהפקדת ערובה לתשלום ההוצאות. </w:t>
      </w:r>
    </w:p>
    <w:p w:rsidR="0018148A" w:rsidRDefault="0018148A" w:rsidP="00633191">
      <w:pPr>
        <w:numPr>
          <w:ilvl w:val="0"/>
          <w:numId w:val="1"/>
        </w:numPr>
        <w:spacing w:after="200" w:line="360" w:lineRule="auto"/>
        <w:jc w:val="both"/>
        <w:rPr>
          <w:rFonts w:ascii="David" w:hAnsi="David"/>
          <w:sz w:val="26"/>
          <w:szCs w:val="26"/>
        </w:rPr>
      </w:pPr>
      <w:r>
        <w:rPr>
          <w:rFonts w:ascii="David" w:hAnsi="David"/>
          <w:sz w:val="26"/>
          <w:szCs w:val="26"/>
          <w:rtl/>
        </w:rPr>
        <w:lastRenderedPageBreak/>
        <w:t>המשיב ציין כי הכלל הוא כי תובע יחיד אינו נדרש להפקיד ערובה להבטחת הוצאות הנתבע, ואולם בענייננו מתקיים החריג, המאפשר חיובו של תובע בהפקדת ערובה שכן סיכויי התביעה נמוכים, מצבו הכלכלי של התובע רעוע במיוחד, ההליך שבפנינו מורכב וכי זכות הגישה של התובע לערכאות לא תיפגע, שכן המערער יכול לנטול הלוואה נוספת מקרוביו כפי שעשה בעבר</w:t>
      </w:r>
      <w:r w:rsidR="00633191">
        <w:rPr>
          <w:rFonts w:ascii="David" w:hAnsi="David" w:hint="cs"/>
          <w:sz w:val="26"/>
          <w:szCs w:val="26"/>
          <w:rtl/>
        </w:rPr>
        <w:t>.</w:t>
      </w:r>
    </w:p>
    <w:p w:rsidR="0018148A" w:rsidRDefault="0018148A" w:rsidP="0018148A">
      <w:pPr>
        <w:numPr>
          <w:ilvl w:val="0"/>
          <w:numId w:val="1"/>
        </w:numPr>
        <w:spacing w:after="200" w:line="360" w:lineRule="auto"/>
        <w:jc w:val="both"/>
        <w:rPr>
          <w:rFonts w:ascii="David" w:hAnsi="David"/>
          <w:sz w:val="26"/>
          <w:szCs w:val="26"/>
        </w:rPr>
      </w:pPr>
      <w:r>
        <w:rPr>
          <w:rFonts w:ascii="David" w:hAnsi="David"/>
          <w:sz w:val="26"/>
          <w:szCs w:val="26"/>
          <w:rtl/>
        </w:rPr>
        <w:t xml:space="preserve">המשיב הוסיף וטען כי בהתאם לבירור מול הנאמנת בהליך חדלות הפירעון,  קופת הכינוס ריקה. המערער מצוי במצב כלכלי רעוע על רק פתיחת הליכי חדלות הפירעון. המשיב טען כי אין בהעדר יכולתו הכלכלית של המערער כדי להצדיק פגיעה באינטרס של המדינה, בהיבט של הבטחת הוצאותיה בהליך. </w:t>
      </w:r>
    </w:p>
    <w:p w:rsidR="0018148A" w:rsidRDefault="0018148A" w:rsidP="00633191">
      <w:pPr>
        <w:numPr>
          <w:ilvl w:val="0"/>
          <w:numId w:val="1"/>
        </w:numPr>
        <w:spacing w:after="200" w:line="360" w:lineRule="auto"/>
        <w:jc w:val="both"/>
        <w:rPr>
          <w:rFonts w:ascii="David" w:hAnsi="David"/>
          <w:sz w:val="26"/>
          <w:szCs w:val="26"/>
        </w:rPr>
      </w:pPr>
      <w:r>
        <w:rPr>
          <w:rFonts w:ascii="David" w:hAnsi="David"/>
          <w:sz w:val="26"/>
          <w:szCs w:val="26"/>
          <w:rtl/>
        </w:rPr>
        <w:t xml:space="preserve">אשר למורכבות ההליך, </w:t>
      </w:r>
      <w:r w:rsidR="00633191">
        <w:rPr>
          <w:rFonts w:ascii="David" w:hAnsi="David" w:hint="cs"/>
          <w:sz w:val="26"/>
          <w:szCs w:val="26"/>
          <w:rtl/>
        </w:rPr>
        <w:t xml:space="preserve">טען </w:t>
      </w:r>
      <w:r>
        <w:rPr>
          <w:rFonts w:ascii="David" w:hAnsi="David"/>
          <w:sz w:val="26"/>
          <w:szCs w:val="26"/>
          <w:rtl/>
        </w:rPr>
        <w:t>המשיב כי למערער שישה מצהירים</w:t>
      </w:r>
      <w:r w:rsidR="00633191">
        <w:rPr>
          <w:rFonts w:ascii="David" w:hAnsi="David" w:hint="cs"/>
          <w:sz w:val="26"/>
          <w:szCs w:val="26"/>
          <w:rtl/>
        </w:rPr>
        <w:t>, הוא אף</w:t>
      </w:r>
      <w:r>
        <w:rPr>
          <w:rFonts w:ascii="David" w:hAnsi="David"/>
          <w:sz w:val="26"/>
          <w:szCs w:val="26"/>
          <w:rtl/>
        </w:rPr>
        <w:t xml:space="preserve"> ביקש לזמן שני עדים נוספים. כמות העדים תדרוש הקצאת תשומות מ</w:t>
      </w:r>
      <w:r w:rsidR="00633191">
        <w:rPr>
          <w:rFonts w:ascii="David" w:hAnsi="David" w:hint="cs"/>
          <w:sz w:val="26"/>
          <w:szCs w:val="26"/>
          <w:rtl/>
        </w:rPr>
        <w:t>צ</w:t>
      </w:r>
      <w:r>
        <w:rPr>
          <w:rFonts w:ascii="David" w:hAnsi="David"/>
          <w:sz w:val="26"/>
          <w:szCs w:val="26"/>
          <w:rtl/>
        </w:rPr>
        <w:t>ד המדינה</w:t>
      </w:r>
      <w:r w:rsidR="00633191">
        <w:rPr>
          <w:rFonts w:ascii="David" w:hAnsi="David" w:hint="cs"/>
          <w:sz w:val="26"/>
          <w:szCs w:val="26"/>
          <w:rtl/>
        </w:rPr>
        <w:t>,</w:t>
      </w:r>
      <w:r>
        <w:rPr>
          <w:rFonts w:ascii="David" w:hAnsi="David"/>
          <w:sz w:val="26"/>
          <w:szCs w:val="26"/>
          <w:rtl/>
        </w:rPr>
        <w:t xml:space="preserve"> ויש לכך משקל ביחס להוצאות שיושתו בסוף ההליך. </w:t>
      </w:r>
    </w:p>
    <w:p w:rsidR="0018148A" w:rsidRDefault="0018148A" w:rsidP="0018148A">
      <w:pPr>
        <w:numPr>
          <w:ilvl w:val="0"/>
          <w:numId w:val="1"/>
        </w:numPr>
        <w:spacing w:after="200" w:line="360" w:lineRule="auto"/>
        <w:jc w:val="both"/>
        <w:rPr>
          <w:rFonts w:ascii="David" w:hAnsi="David"/>
          <w:sz w:val="26"/>
          <w:szCs w:val="26"/>
        </w:rPr>
      </w:pPr>
      <w:r>
        <w:rPr>
          <w:rFonts w:ascii="David" w:hAnsi="David"/>
          <w:sz w:val="26"/>
          <w:szCs w:val="26"/>
          <w:rtl/>
        </w:rPr>
        <w:t xml:space="preserve">אשר לסיכויי הערעור טען המשיב כי סיכויי הערעור נמוכים, בין היתר על יסוד דחיית טענותיו של המערער בהשגה וטען כי המערער כשל בהצגת מסמכים מספקים לצורך הוכחת טענותיו בדבר הלוואות שניצנו לו וגידול ההון הבלתי מוסבר.   </w:t>
      </w:r>
    </w:p>
    <w:p w:rsidR="0018148A" w:rsidRDefault="0018148A" w:rsidP="00633191">
      <w:pPr>
        <w:numPr>
          <w:ilvl w:val="0"/>
          <w:numId w:val="1"/>
        </w:numPr>
        <w:spacing w:after="200" w:line="360" w:lineRule="auto"/>
        <w:jc w:val="both"/>
        <w:rPr>
          <w:rFonts w:ascii="David" w:hAnsi="David"/>
          <w:sz w:val="26"/>
          <w:szCs w:val="26"/>
        </w:rPr>
      </w:pPr>
      <w:r>
        <w:rPr>
          <w:rFonts w:ascii="David" w:hAnsi="David"/>
          <w:sz w:val="26"/>
          <w:szCs w:val="26"/>
          <w:rtl/>
        </w:rPr>
        <w:t>המערער טען מנגד, כי כאשר קיימים הליכי חדלות פירעון, וכי בירור היקף חיוביו האמיתי של החייב אינו אינטרס אישי שלו</w:t>
      </w:r>
      <w:r w:rsidR="00633191">
        <w:rPr>
          <w:rFonts w:ascii="David" w:hAnsi="David" w:hint="cs"/>
          <w:sz w:val="26"/>
          <w:szCs w:val="26"/>
          <w:rtl/>
        </w:rPr>
        <w:t xml:space="preserve"> בלבד</w:t>
      </w:r>
      <w:r>
        <w:rPr>
          <w:rFonts w:ascii="David" w:hAnsi="David"/>
          <w:sz w:val="26"/>
          <w:szCs w:val="26"/>
          <w:rtl/>
        </w:rPr>
        <w:t>, אלא גם אינטרס של כלל הנושים</w:t>
      </w:r>
      <w:r w:rsidR="00633191">
        <w:rPr>
          <w:rFonts w:ascii="David" w:hAnsi="David" w:hint="cs"/>
          <w:sz w:val="26"/>
          <w:szCs w:val="26"/>
          <w:rtl/>
        </w:rPr>
        <w:t>,</w:t>
      </w:r>
      <w:r>
        <w:rPr>
          <w:rFonts w:ascii="David" w:hAnsi="David"/>
          <w:sz w:val="26"/>
          <w:szCs w:val="26"/>
          <w:rtl/>
        </w:rPr>
        <w:t xml:space="preserve"> יש לשמור על שוויון בינם לבין הנושה </w:t>
      </w:r>
      <w:r w:rsidR="00633191">
        <w:rPr>
          <w:rFonts w:ascii="David" w:hAnsi="David" w:hint="cs"/>
          <w:sz w:val="26"/>
          <w:szCs w:val="26"/>
          <w:rtl/>
        </w:rPr>
        <w:t xml:space="preserve">שהוא </w:t>
      </w:r>
      <w:r>
        <w:rPr>
          <w:rFonts w:ascii="David" w:hAnsi="David"/>
          <w:sz w:val="26"/>
          <w:szCs w:val="26"/>
          <w:rtl/>
        </w:rPr>
        <w:t>פקיד השומה</w:t>
      </w:r>
      <w:r w:rsidR="00633191">
        <w:rPr>
          <w:rFonts w:ascii="David" w:hAnsi="David" w:hint="cs"/>
          <w:sz w:val="26"/>
          <w:szCs w:val="26"/>
          <w:rtl/>
        </w:rPr>
        <w:t>,</w:t>
      </w:r>
      <w:r>
        <w:rPr>
          <w:rFonts w:ascii="David" w:hAnsi="David"/>
          <w:sz w:val="26"/>
          <w:szCs w:val="26"/>
          <w:rtl/>
        </w:rPr>
        <w:t xml:space="preserve"> בהתאם למהותם</w:t>
      </w:r>
      <w:r w:rsidR="00633191">
        <w:rPr>
          <w:rFonts w:ascii="David" w:hAnsi="David"/>
          <w:sz w:val="26"/>
          <w:szCs w:val="26"/>
          <w:rtl/>
        </w:rPr>
        <w:t xml:space="preserve"> של הליכי חדלות הפירעון. כמו כן</w:t>
      </w:r>
      <w:r>
        <w:rPr>
          <w:rFonts w:ascii="David" w:hAnsi="David"/>
          <w:sz w:val="26"/>
          <w:szCs w:val="26"/>
          <w:rtl/>
        </w:rPr>
        <w:t xml:space="preserve"> הוסיף</w:t>
      </w:r>
      <w:r w:rsidR="00633191">
        <w:rPr>
          <w:rFonts w:ascii="David" w:hAnsi="David" w:hint="cs"/>
          <w:sz w:val="26"/>
          <w:szCs w:val="26"/>
          <w:rtl/>
        </w:rPr>
        <w:t>,</w:t>
      </w:r>
      <w:r>
        <w:rPr>
          <w:rFonts w:ascii="David" w:hAnsi="David"/>
          <w:sz w:val="26"/>
          <w:szCs w:val="26"/>
          <w:rtl/>
        </w:rPr>
        <w:t xml:space="preserve"> כי לא ניתן לברר הליכי שומה במסגרת תביעות חוב. </w:t>
      </w:r>
    </w:p>
    <w:p w:rsidR="0018148A" w:rsidRDefault="0018148A" w:rsidP="0018148A">
      <w:pPr>
        <w:numPr>
          <w:ilvl w:val="0"/>
          <w:numId w:val="1"/>
        </w:numPr>
        <w:spacing w:after="200" w:line="360" w:lineRule="auto"/>
        <w:jc w:val="both"/>
        <w:rPr>
          <w:rFonts w:ascii="David" w:hAnsi="David"/>
          <w:sz w:val="26"/>
          <w:szCs w:val="26"/>
        </w:rPr>
      </w:pPr>
      <w:r>
        <w:rPr>
          <w:rFonts w:ascii="David" w:hAnsi="David"/>
          <w:sz w:val="26"/>
          <w:szCs w:val="26"/>
          <w:rtl/>
        </w:rPr>
        <w:t xml:space="preserve">המערער הוסיף כי הצבת הדרישה להפקדת ערובה במקרה של פושט רגל, מהווה סיכול זכות הגישה לערכאות וכי אין באפשרות המערער לגייס מצדדים שלישיים התחייבות לשאת בהוצאות הערעור ואף לא את יתרת שכר טרחת עורך דינו. </w:t>
      </w:r>
    </w:p>
    <w:p w:rsidR="0018148A" w:rsidRDefault="0018148A" w:rsidP="0018148A">
      <w:pPr>
        <w:spacing w:after="200" w:line="360" w:lineRule="auto"/>
        <w:jc w:val="both"/>
        <w:rPr>
          <w:rFonts w:ascii="David" w:hAnsi="David"/>
          <w:b/>
          <w:bCs/>
          <w:sz w:val="26"/>
          <w:szCs w:val="26"/>
          <w:u w:val="single"/>
        </w:rPr>
      </w:pPr>
      <w:r>
        <w:rPr>
          <w:rFonts w:ascii="David" w:hAnsi="David"/>
          <w:b/>
          <w:bCs/>
          <w:sz w:val="26"/>
          <w:szCs w:val="26"/>
          <w:u w:val="single"/>
          <w:rtl/>
        </w:rPr>
        <w:t>המסגרת החוקית</w:t>
      </w:r>
    </w:p>
    <w:p w:rsidR="0018148A" w:rsidRDefault="0018148A" w:rsidP="00FF0BE5">
      <w:pPr>
        <w:numPr>
          <w:ilvl w:val="0"/>
          <w:numId w:val="1"/>
        </w:numPr>
        <w:spacing w:after="200" w:line="360" w:lineRule="auto"/>
        <w:contextualSpacing/>
        <w:jc w:val="both"/>
        <w:rPr>
          <w:rFonts w:ascii="David" w:hAnsi="David"/>
          <w:b/>
          <w:bCs/>
          <w:sz w:val="28"/>
          <w:szCs w:val="28"/>
          <w:u w:val="single"/>
        </w:rPr>
      </w:pPr>
      <w:r>
        <w:rPr>
          <w:rFonts w:ascii="David" w:hAnsi="David"/>
          <w:sz w:val="26"/>
          <w:szCs w:val="26"/>
          <w:rtl/>
        </w:rPr>
        <w:t xml:space="preserve">תקנה 157 </w:t>
      </w:r>
      <w:r>
        <w:rPr>
          <w:rFonts w:ascii="David" w:hAnsi="David"/>
          <w:b/>
          <w:bCs/>
          <w:sz w:val="26"/>
          <w:szCs w:val="26"/>
          <w:rtl/>
        </w:rPr>
        <w:t>בתקנות סדר הדין האזרחי</w:t>
      </w:r>
      <w:r>
        <w:rPr>
          <w:rFonts w:ascii="David" w:hAnsi="David"/>
          <w:sz w:val="26"/>
          <w:szCs w:val="26"/>
          <w:rtl/>
        </w:rPr>
        <w:t xml:space="preserve">, החלה בענייננו מכוח תקנה </w:t>
      </w:r>
      <w:r w:rsidR="00FF0BE5">
        <w:rPr>
          <w:rFonts w:ascii="David" w:hAnsi="David" w:hint="cs"/>
          <w:sz w:val="26"/>
          <w:szCs w:val="26"/>
          <w:rtl/>
        </w:rPr>
        <w:t>9</w:t>
      </w:r>
      <w:r>
        <w:rPr>
          <w:rFonts w:ascii="David" w:hAnsi="David"/>
          <w:sz w:val="26"/>
          <w:szCs w:val="26"/>
          <w:rtl/>
        </w:rPr>
        <w:t xml:space="preserve"> </w:t>
      </w:r>
      <w:r w:rsidRPr="00FF0BE5">
        <w:rPr>
          <w:rFonts w:ascii="David" w:hAnsi="David"/>
          <w:b/>
          <w:bCs/>
          <w:sz w:val="26"/>
          <w:szCs w:val="26"/>
          <w:rtl/>
        </w:rPr>
        <w:t>בתקנות</w:t>
      </w:r>
      <w:r w:rsidR="00FF0BE5" w:rsidRPr="00FF0BE5">
        <w:rPr>
          <w:rFonts w:ascii="David" w:hAnsi="David" w:hint="cs"/>
          <w:b/>
          <w:bCs/>
          <w:sz w:val="26"/>
          <w:szCs w:val="26"/>
          <w:rtl/>
        </w:rPr>
        <w:t xml:space="preserve"> בית משפט (ערעורים בענייני מס כנסה)</w:t>
      </w:r>
      <w:r w:rsidRPr="00FF0BE5">
        <w:rPr>
          <w:rFonts w:ascii="David" w:hAnsi="David"/>
          <w:b/>
          <w:bCs/>
          <w:sz w:val="26"/>
          <w:szCs w:val="26"/>
          <w:rtl/>
        </w:rPr>
        <w:t xml:space="preserve">, </w:t>
      </w:r>
      <w:r w:rsidR="00FF0BE5" w:rsidRPr="00FF0BE5">
        <w:rPr>
          <w:rFonts w:ascii="David" w:hAnsi="David"/>
          <w:b/>
          <w:bCs/>
          <w:color w:val="000000"/>
          <w:sz w:val="26"/>
          <w:szCs w:val="26"/>
          <w:rtl/>
        </w:rPr>
        <w:t>התשל"ט-1978</w:t>
      </w:r>
      <w:r w:rsidR="00FF0BE5" w:rsidRPr="00FF0BE5">
        <w:rPr>
          <w:rFonts w:ascii="David" w:hAnsi="David" w:hint="cs"/>
          <w:b/>
          <w:bCs/>
          <w:color w:val="000000"/>
          <w:sz w:val="26"/>
          <w:szCs w:val="26"/>
          <w:rtl/>
        </w:rPr>
        <w:t>,</w:t>
      </w:r>
      <w:r w:rsidR="00FF0BE5">
        <w:rPr>
          <w:rFonts w:ascii="David" w:hAnsi="David" w:hint="cs"/>
          <w:color w:val="000000"/>
          <w:sz w:val="26"/>
          <w:szCs w:val="26"/>
          <w:rtl/>
        </w:rPr>
        <w:t xml:space="preserve"> </w:t>
      </w:r>
      <w:r>
        <w:rPr>
          <w:rFonts w:ascii="David" w:hAnsi="David"/>
          <w:color w:val="000000"/>
          <w:sz w:val="26"/>
          <w:szCs w:val="26"/>
          <w:rtl/>
        </w:rPr>
        <w:t xml:space="preserve">קובעת כי- </w:t>
      </w:r>
    </w:p>
    <w:p w:rsidR="005F0F25" w:rsidRDefault="005F0F25" w:rsidP="005F0F25">
      <w:pPr>
        <w:spacing w:after="200" w:line="360" w:lineRule="auto"/>
        <w:ind w:left="720"/>
        <w:contextualSpacing/>
        <w:jc w:val="both"/>
        <w:rPr>
          <w:rFonts w:ascii="David" w:hAnsi="David"/>
          <w:b/>
          <w:bCs/>
          <w:sz w:val="28"/>
          <w:szCs w:val="28"/>
          <w:u w:val="single"/>
        </w:rPr>
      </w:pPr>
    </w:p>
    <w:p w:rsidR="0018148A" w:rsidRDefault="0018148A" w:rsidP="0018148A">
      <w:pPr>
        <w:spacing w:after="200" w:line="360" w:lineRule="auto"/>
        <w:ind w:left="1440" w:right="426"/>
        <w:contextualSpacing/>
        <w:jc w:val="both"/>
        <w:rPr>
          <w:rFonts w:ascii="David" w:hAnsi="David"/>
          <w:b/>
          <w:bCs/>
          <w:color w:val="000000"/>
          <w:sz w:val="26"/>
          <w:szCs w:val="26"/>
        </w:rPr>
      </w:pPr>
      <w:r>
        <w:rPr>
          <w:rFonts w:ascii="David" w:hAnsi="David"/>
          <w:color w:val="000000"/>
          <w:sz w:val="26"/>
          <w:szCs w:val="26"/>
          <w:rtl/>
        </w:rPr>
        <w:lastRenderedPageBreak/>
        <w:t>"</w:t>
      </w:r>
      <w:r>
        <w:rPr>
          <w:rFonts w:ascii="David" w:hAnsi="David"/>
          <w:b/>
          <w:bCs/>
          <w:color w:val="000000"/>
          <w:sz w:val="26"/>
          <w:szCs w:val="26"/>
          <w:rtl/>
        </w:rPr>
        <w:t xml:space="preserve">(א) בית המשפט רשאי, אם נראה לו הדבר, לצוות על תובע לתת ערובה לתשלום הוצאותיו של נתבע. </w:t>
      </w:r>
    </w:p>
    <w:p w:rsidR="0018148A" w:rsidRDefault="0018148A" w:rsidP="0018148A">
      <w:pPr>
        <w:spacing w:after="200" w:line="360" w:lineRule="auto"/>
        <w:ind w:left="720" w:right="426" w:firstLine="720"/>
        <w:contextualSpacing/>
        <w:jc w:val="both"/>
        <w:rPr>
          <w:rFonts w:ascii="David" w:hAnsi="David"/>
          <w:color w:val="000000"/>
          <w:sz w:val="26"/>
          <w:szCs w:val="26"/>
          <w:rtl/>
        </w:rPr>
      </w:pPr>
      <w:r>
        <w:rPr>
          <w:rFonts w:ascii="David" w:hAnsi="David"/>
          <w:b/>
          <w:bCs/>
          <w:color w:val="000000"/>
          <w:sz w:val="26"/>
          <w:szCs w:val="26"/>
          <w:rtl/>
        </w:rPr>
        <w:t>(ב) לא ניתנה הערובה בתוך המועד שהורה, יימחק כתב התביעה</w:t>
      </w:r>
      <w:r>
        <w:rPr>
          <w:rFonts w:ascii="David" w:hAnsi="David"/>
          <w:color w:val="000000"/>
          <w:sz w:val="26"/>
          <w:szCs w:val="26"/>
          <w:rtl/>
        </w:rPr>
        <w:t xml:space="preserve">". </w:t>
      </w:r>
    </w:p>
    <w:p w:rsidR="005F0F25" w:rsidRDefault="005F0F25" w:rsidP="0018148A">
      <w:pPr>
        <w:spacing w:after="200" w:line="360" w:lineRule="auto"/>
        <w:ind w:left="720" w:right="426" w:firstLine="720"/>
        <w:contextualSpacing/>
        <w:jc w:val="both"/>
        <w:rPr>
          <w:rFonts w:ascii="David" w:hAnsi="David"/>
          <w:color w:val="000000"/>
          <w:sz w:val="26"/>
          <w:szCs w:val="26"/>
        </w:rPr>
      </w:pPr>
    </w:p>
    <w:p w:rsidR="00C9533C" w:rsidRPr="00F13407" w:rsidRDefault="00C9533C" w:rsidP="00F13407">
      <w:pPr>
        <w:numPr>
          <w:ilvl w:val="0"/>
          <w:numId w:val="1"/>
        </w:numPr>
        <w:spacing w:after="200" w:line="360" w:lineRule="auto"/>
        <w:contextualSpacing/>
        <w:jc w:val="both"/>
        <w:rPr>
          <w:rFonts w:ascii="David" w:hAnsi="David"/>
          <w:noProof w:val="0"/>
          <w:sz w:val="26"/>
          <w:szCs w:val="26"/>
        </w:rPr>
      </w:pPr>
      <w:r>
        <w:rPr>
          <w:rFonts w:ascii="David" w:hAnsi="David"/>
          <w:sz w:val="26"/>
          <w:szCs w:val="26"/>
          <w:rtl/>
        </w:rPr>
        <w:t xml:space="preserve">(וראו לעניין התחולה בענייני מסים למשל רע"א 5013/15 </w:t>
      </w:r>
      <w:r>
        <w:rPr>
          <w:rFonts w:ascii="David" w:hAnsi="David"/>
          <w:b/>
          <w:bCs/>
          <w:sz w:val="26"/>
          <w:szCs w:val="26"/>
          <w:rtl/>
        </w:rPr>
        <w:t>ג'ורדאל בע"מ נ' מנהל מע"מ באר שבע</w:t>
      </w:r>
      <w:r>
        <w:rPr>
          <w:rFonts w:ascii="David" w:hAnsi="David"/>
          <w:sz w:val="26"/>
          <w:szCs w:val="26"/>
          <w:rtl/>
        </w:rPr>
        <w:t xml:space="preserve"> (מיום 27.12.2015; רע"א 6315/18 </w:t>
      </w:r>
      <w:r>
        <w:rPr>
          <w:rFonts w:ascii="David" w:hAnsi="David"/>
          <w:b/>
          <w:bCs/>
          <w:sz w:val="26"/>
          <w:szCs w:val="26"/>
          <w:rtl/>
        </w:rPr>
        <w:t>ג'י אם בניה בע"מ נ' מנהל מע"מ לוד</w:t>
      </w:r>
      <w:r>
        <w:rPr>
          <w:rFonts w:ascii="David" w:hAnsi="David"/>
          <w:sz w:val="26"/>
          <w:szCs w:val="26"/>
          <w:rtl/>
        </w:rPr>
        <w:t xml:space="preserve"> (מיום 7.10.2018); </w:t>
      </w:r>
      <w:r>
        <w:rPr>
          <w:sz w:val="26"/>
          <w:szCs w:val="26"/>
          <w:rtl/>
          <w:lang w:eastAsia="he-IL"/>
        </w:rPr>
        <w:t>רע"א 1970/18</w:t>
      </w:r>
      <w:r>
        <w:rPr>
          <w:rFonts w:ascii="Calibri" w:hAnsi="Calibri"/>
          <w:sz w:val="26"/>
          <w:szCs w:val="26"/>
          <w:rtl/>
          <w:lang w:eastAsia="he-IL"/>
        </w:rPr>
        <w:t xml:space="preserve"> </w:t>
      </w:r>
      <w:r>
        <w:rPr>
          <w:rFonts w:ascii="Calibri" w:hAnsi="Calibri"/>
          <w:b/>
          <w:bCs/>
          <w:sz w:val="26"/>
          <w:szCs w:val="26"/>
          <w:rtl/>
          <w:lang w:eastAsia="he-IL"/>
        </w:rPr>
        <w:t>מיכאל ביטוח עבודות בניה בע"מ נ' מנהל מע"מ</w:t>
      </w:r>
      <w:r>
        <w:rPr>
          <w:rFonts w:ascii="Calibri" w:hAnsi="Calibri"/>
          <w:sz w:val="26"/>
          <w:szCs w:val="26"/>
          <w:rtl/>
          <w:lang w:eastAsia="he-IL"/>
        </w:rPr>
        <w:t xml:space="preserve"> (מיום 19.3.19); (</w:t>
      </w:r>
      <w:r>
        <w:rPr>
          <w:rFonts w:ascii="Calibri" w:hAnsi="Calibri"/>
          <w:sz w:val="26"/>
          <w:szCs w:val="26"/>
          <w:rtl/>
        </w:rPr>
        <w:t xml:space="preserve">רע"א 7687/18 </w:t>
      </w:r>
      <w:r>
        <w:rPr>
          <w:rFonts w:ascii="Calibri" w:hAnsi="Calibri"/>
          <w:b/>
          <w:bCs/>
          <w:sz w:val="26"/>
          <w:szCs w:val="26"/>
          <w:rtl/>
        </w:rPr>
        <w:t xml:space="preserve">מדינת ישראל- רשות המסים נ' </w:t>
      </w:r>
      <w:r>
        <w:rPr>
          <w:rFonts w:ascii="David" w:hAnsi="David"/>
          <w:b/>
          <w:bCs/>
          <w:color w:val="000000"/>
          <w:sz w:val="26"/>
          <w:szCs w:val="26"/>
          <w:rtl/>
        </w:rPr>
        <w:t>מרעב חסן בנייה וסחר בע"מ</w:t>
      </w:r>
      <w:r>
        <w:rPr>
          <w:rFonts w:ascii="Calibri" w:hAnsi="Calibri"/>
          <w:sz w:val="26"/>
          <w:szCs w:val="26"/>
          <w:rtl/>
        </w:rPr>
        <w:t xml:space="preserve"> (מיום 15.7.20); </w:t>
      </w:r>
      <w:r>
        <w:rPr>
          <w:rFonts w:ascii="David" w:hAnsi="David"/>
          <w:sz w:val="26"/>
          <w:szCs w:val="26"/>
          <w:rtl/>
        </w:rPr>
        <w:t xml:space="preserve">ע"א 477/19 </w:t>
      </w:r>
      <w:r>
        <w:rPr>
          <w:rFonts w:ascii="David" w:hAnsi="David"/>
          <w:b/>
          <w:bCs/>
          <w:sz w:val="26"/>
          <w:szCs w:val="26"/>
          <w:rtl/>
        </w:rPr>
        <w:t>חברת ג'י בי אם בניה בע"מ נ' מנהל מע"מ לוד</w:t>
      </w:r>
      <w:r>
        <w:rPr>
          <w:rFonts w:ascii="David" w:hAnsi="David"/>
          <w:sz w:val="26"/>
          <w:szCs w:val="26"/>
          <w:rtl/>
        </w:rPr>
        <w:t xml:space="preserve"> (מיום 2.2.21)</w:t>
      </w:r>
      <w:r w:rsidR="00E8351D">
        <w:rPr>
          <w:rFonts w:ascii="Calibri" w:hAnsi="Calibri" w:hint="cs"/>
          <w:sz w:val="26"/>
          <w:szCs w:val="26"/>
          <w:rtl/>
        </w:rPr>
        <w:t>)</w:t>
      </w:r>
      <w:r>
        <w:rPr>
          <w:rFonts w:ascii="Calibri" w:hAnsi="Calibri"/>
          <w:sz w:val="26"/>
          <w:szCs w:val="26"/>
          <w:rtl/>
        </w:rPr>
        <w:t>.</w:t>
      </w:r>
    </w:p>
    <w:p w:rsidR="00C70ABA" w:rsidRPr="00C70ABA" w:rsidRDefault="0018148A" w:rsidP="004254DE">
      <w:pPr>
        <w:numPr>
          <w:ilvl w:val="0"/>
          <w:numId w:val="1"/>
        </w:numPr>
        <w:spacing w:after="200" w:line="360" w:lineRule="auto"/>
        <w:contextualSpacing/>
        <w:jc w:val="both"/>
        <w:rPr>
          <w:rFonts w:ascii="David" w:hAnsi="David"/>
          <w:b/>
          <w:bCs/>
          <w:sz w:val="28"/>
          <w:szCs w:val="28"/>
          <w:u w:val="single"/>
        </w:rPr>
      </w:pPr>
      <w:r>
        <w:rPr>
          <w:rFonts w:ascii="David" w:hAnsi="David"/>
          <w:color w:val="000000"/>
          <w:sz w:val="26"/>
          <w:szCs w:val="26"/>
          <w:rtl/>
        </w:rPr>
        <w:t xml:space="preserve">תקנה 157 בתקנות סדר הדין האזרחי נמנעה מלקבוע מהם הקריטריונים לקביעת הערובה, </w:t>
      </w:r>
      <w:r w:rsidRPr="004254DE">
        <w:rPr>
          <w:rFonts w:ascii="David" w:hAnsi="David"/>
          <w:color w:val="000000"/>
          <w:sz w:val="26"/>
          <w:szCs w:val="26"/>
          <w:rtl/>
        </w:rPr>
        <w:t xml:space="preserve">ועל כן יש לאמץ את השיקולים המנחים שהותוו בהלכה הפסוקה ביחס להפקדת ערובה על פי תקנה 519 </w:t>
      </w:r>
      <w:r w:rsidRPr="004254DE">
        <w:rPr>
          <w:rFonts w:ascii="David" w:hAnsi="David"/>
          <w:b/>
          <w:bCs/>
          <w:color w:val="000000"/>
          <w:sz w:val="26"/>
          <w:szCs w:val="26"/>
          <w:rtl/>
        </w:rPr>
        <w:t>בתקנות סדר הדין האזרחי, התשמ"ד- 1984</w:t>
      </w:r>
      <w:r w:rsidRPr="004254DE">
        <w:rPr>
          <w:rFonts w:ascii="David" w:hAnsi="David"/>
          <w:color w:val="000000"/>
          <w:sz w:val="26"/>
          <w:szCs w:val="26"/>
          <w:rtl/>
        </w:rPr>
        <w:t xml:space="preserve"> (להלן- "</w:t>
      </w:r>
      <w:r w:rsidRPr="004254DE">
        <w:rPr>
          <w:rFonts w:ascii="David" w:hAnsi="David"/>
          <w:b/>
          <w:bCs/>
          <w:color w:val="000000"/>
          <w:sz w:val="26"/>
          <w:szCs w:val="26"/>
          <w:rtl/>
        </w:rPr>
        <w:t>תקנות סדר הדין האזרחי הישנות</w:t>
      </w:r>
      <w:r w:rsidRPr="004254DE">
        <w:rPr>
          <w:rFonts w:ascii="David" w:hAnsi="David"/>
          <w:color w:val="000000"/>
          <w:sz w:val="26"/>
          <w:szCs w:val="26"/>
          <w:rtl/>
        </w:rPr>
        <w:t>"), אשר עסקה בעבר בסוגיה, ואשר נוסחה דומה (למעט לעניין נפקות ההימנעות מהפקדת ערובה- מחיקת התביעה או דחייתה).</w:t>
      </w:r>
    </w:p>
    <w:p w:rsidR="0018148A" w:rsidRPr="00FF0BE5" w:rsidRDefault="00C70ABA" w:rsidP="00321B93">
      <w:pPr>
        <w:numPr>
          <w:ilvl w:val="0"/>
          <w:numId w:val="1"/>
        </w:numPr>
        <w:spacing w:after="200" w:line="360" w:lineRule="auto"/>
        <w:contextualSpacing/>
        <w:jc w:val="both"/>
        <w:rPr>
          <w:rFonts w:ascii="David" w:hAnsi="David"/>
          <w:b/>
          <w:bCs/>
          <w:sz w:val="28"/>
          <w:szCs w:val="28"/>
          <w:u w:val="single"/>
        </w:rPr>
      </w:pPr>
      <w:r>
        <w:rPr>
          <w:rFonts w:ascii="David" w:hAnsi="David" w:hint="cs"/>
          <w:color w:val="000000"/>
          <w:sz w:val="26"/>
          <w:szCs w:val="26"/>
          <w:rtl/>
        </w:rPr>
        <w:t xml:space="preserve">ההלכה הפסוקה עמדה על האיזון הנדרש בין זכות הגישה לערכאות של התובע, לבין השאיפה למנוע הגשת תביעות סרק ולהבטיח כי יהיה לנתבע ממי להיפרע </w:t>
      </w:r>
      <w:r w:rsidR="00321B93">
        <w:rPr>
          <w:rFonts w:ascii="David" w:hAnsi="David" w:hint="cs"/>
          <w:color w:val="000000"/>
          <w:sz w:val="26"/>
          <w:szCs w:val="26"/>
          <w:rtl/>
        </w:rPr>
        <w:t xml:space="preserve">ככל שהתביעה תדחה וככל שייפסקו לטובתו הוצאות משפט (ראו למשל רע"א 7620/21 אייזן נ' יואלי (מיום 13.12.2021). עוד נפסק כי ככלל, חיוב תוסע פרטי המתגורר בישראל בהפקדת ערובה ייעשה במקרים חריגים בלבד (ראו פסקי הדין המובאים שם). </w:t>
      </w:r>
      <w:r>
        <w:rPr>
          <w:rFonts w:ascii="David" w:hAnsi="David" w:hint="cs"/>
          <w:color w:val="000000"/>
          <w:sz w:val="26"/>
          <w:szCs w:val="26"/>
          <w:rtl/>
        </w:rPr>
        <w:t xml:space="preserve"> </w:t>
      </w:r>
      <w:r w:rsidR="0018148A" w:rsidRPr="00321B93">
        <w:rPr>
          <w:rFonts w:ascii="David" w:hAnsi="David"/>
          <w:sz w:val="26"/>
          <w:szCs w:val="26"/>
          <w:rtl/>
        </w:rPr>
        <w:t xml:space="preserve">האיזון הנאות בין השיקולים השונים מחייב את בית המשפט לנקוט במתינות ובזהירות בהפעלת שיקול הדעת המוקנה לו בהקשר זה (ראו- רע"א 2892/23 </w:t>
      </w:r>
      <w:r w:rsidR="0018148A" w:rsidRPr="00321B93">
        <w:rPr>
          <w:rFonts w:ascii="David" w:hAnsi="David"/>
          <w:b/>
          <w:bCs/>
          <w:sz w:val="26"/>
          <w:szCs w:val="26"/>
          <w:rtl/>
        </w:rPr>
        <w:t>גלובל אפ טכנולוגיות בע"מ נ' הלן טרוויס</w:t>
      </w:r>
      <w:r w:rsidR="00321B93">
        <w:rPr>
          <w:rFonts w:ascii="David" w:hAnsi="David"/>
          <w:sz w:val="26"/>
          <w:szCs w:val="26"/>
          <w:rtl/>
        </w:rPr>
        <w:t xml:space="preserve"> (מיום 9.7.2023)</w:t>
      </w:r>
      <w:r w:rsidR="0018148A" w:rsidRPr="00321B93">
        <w:rPr>
          <w:rFonts w:ascii="David" w:hAnsi="David"/>
          <w:sz w:val="26"/>
          <w:szCs w:val="26"/>
          <w:rtl/>
        </w:rPr>
        <w:t>, והפסיקה המוזכרת שם.</w:t>
      </w:r>
    </w:p>
    <w:p w:rsidR="0018148A" w:rsidRPr="00FF0BE5" w:rsidRDefault="00FF0BE5" w:rsidP="00D478D1">
      <w:pPr>
        <w:numPr>
          <w:ilvl w:val="0"/>
          <w:numId w:val="1"/>
        </w:numPr>
        <w:spacing w:after="200" w:line="360" w:lineRule="auto"/>
        <w:contextualSpacing/>
        <w:jc w:val="both"/>
        <w:rPr>
          <w:rFonts w:ascii="David" w:hAnsi="David"/>
          <w:b/>
          <w:bCs/>
          <w:sz w:val="28"/>
          <w:szCs w:val="28"/>
          <w:u w:val="single"/>
        </w:rPr>
      </w:pPr>
      <w:r>
        <w:rPr>
          <w:rFonts w:ascii="David" w:hAnsi="David" w:hint="cs"/>
          <w:sz w:val="26"/>
          <w:szCs w:val="26"/>
          <w:rtl/>
        </w:rPr>
        <w:t xml:space="preserve">בין היתר נקבע בהלכה הפסוקה כי מצב כלכלי ירוד של תובע מצדיק לעיתים הפקדת ערובה (ראו למשל </w:t>
      </w:r>
      <w:r w:rsidR="0018148A" w:rsidRPr="00D478D1">
        <w:rPr>
          <w:rFonts w:ascii="David" w:hAnsi="David"/>
          <w:color w:val="000000"/>
          <w:sz w:val="26"/>
          <w:szCs w:val="26"/>
          <w:rtl/>
        </w:rPr>
        <w:t>רע"א 2142/13</w:t>
      </w:r>
      <w:r w:rsidR="0018148A" w:rsidRPr="00FF0BE5">
        <w:rPr>
          <w:rFonts w:ascii="David" w:hAnsi="David"/>
          <w:b/>
          <w:bCs/>
          <w:color w:val="000000"/>
          <w:sz w:val="26"/>
          <w:szCs w:val="26"/>
          <w:rtl/>
        </w:rPr>
        <w:t xml:space="preserve"> נעמאת נ' קרמין, </w:t>
      </w:r>
      <w:r w:rsidR="0018148A" w:rsidRPr="00D478D1">
        <w:rPr>
          <w:rFonts w:ascii="David" w:hAnsi="David"/>
          <w:color w:val="000000"/>
          <w:sz w:val="26"/>
          <w:szCs w:val="26"/>
          <w:rtl/>
        </w:rPr>
        <w:t>(</w:t>
      </w:r>
      <w:r w:rsidR="00D478D1">
        <w:rPr>
          <w:rFonts w:ascii="David" w:hAnsi="David" w:hint="cs"/>
          <w:color w:val="000000"/>
          <w:sz w:val="26"/>
          <w:szCs w:val="26"/>
          <w:rtl/>
        </w:rPr>
        <w:t xml:space="preserve">מיום </w:t>
      </w:r>
      <w:r w:rsidR="0018148A" w:rsidRPr="00D478D1">
        <w:rPr>
          <w:rFonts w:ascii="David" w:hAnsi="David"/>
          <w:color w:val="000000"/>
          <w:sz w:val="26"/>
          <w:szCs w:val="26"/>
          <w:rtl/>
        </w:rPr>
        <w:t>13.11.2014)</w:t>
      </w:r>
      <w:r w:rsidR="00D478D1">
        <w:rPr>
          <w:rFonts w:ascii="David" w:hAnsi="David" w:hint="cs"/>
          <w:b/>
          <w:bCs/>
          <w:color w:val="000000"/>
          <w:sz w:val="26"/>
          <w:szCs w:val="26"/>
          <w:rtl/>
        </w:rPr>
        <w:t>.</w:t>
      </w:r>
      <w:r w:rsidR="0018148A" w:rsidRPr="00FF0BE5">
        <w:rPr>
          <w:rFonts w:ascii="David" w:hAnsi="David"/>
          <w:b/>
          <w:bCs/>
          <w:color w:val="000000"/>
          <w:sz w:val="26"/>
          <w:szCs w:val="26"/>
          <w:rtl/>
        </w:rPr>
        <w:t xml:space="preserve"> </w:t>
      </w:r>
    </w:p>
    <w:p w:rsidR="0018148A" w:rsidRDefault="0018148A" w:rsidP="0018148A">
      <w:pPr>
        <w:spacing w:after="200" w:line="360" w:lineRule="auto"/>
        <w:jc w:val="both"/>
        <w:rPr>
          <w:rFonts w:ascii="David" w:hAnsi="David"/>
          <w:b/>
          <w:bCs/>
          <w:sz w:val="26"/>
          <w:szCs w:val="26"/>
          <w:u w:val="single"/>
        </w:rPr>
      </w:pPr>
    </w:p>
    <w:p w:rsidR="0018148A" w:rsidRDefault="0018148A" w:rsidP="0018148A">
      <w:pPr>
        <w:spacing w:after="200" w:line="360" w:lineRule="auto"/>
        <w:jc w:val="both"/>
        <w:rPr>
          <w:rFonts w:ascii="David" w:hAnsi="David"/>
          <w:b/>
          <w:bCs/>
          <w:sz w:val="26"/>
          <w:szCs w:val="26"/>
          <w:u w:val="single"/>
          <w:rtl/>
        </w:rPr>
      </w:pPr>
      <w:r>
        <w:rPr>
          <w:rFonts w:ascii="David" w:hAnsi="David"/>
          <w:b/>
          <w:bCs/>
          <w:sz w:val="26"/>
          <w:szCs w:val="26"/>
          <w:u w:val="single"/>
          <w:rtl/>
        </w:rPr>
        <w:t xml:space="preserve">דיון והכרעה </w:t>
      </w:r>
    </w:p>
    <w:p w:rsidR="0018148A" w:rsidRDefault="0018148A" w:rsidP="00CE56FC">
      <w:pPr>
        <w:numPr>
          <w:ilvl w:val="0"/>
          <w:numId w:val="1"/>
        </w:numPr>
        <w:spacing w:after="200" w:line="360" w:lineRule="auto"/>
        <w:jc w:val="both"/>
        <w:rPr>
          <w:rFonts w:ascii="David" w:hAnsi="David"/>
          <w:sz w:val="26"/>
          <w:szCs w:val="26"/>
        </w:rPr>
      </w:pPr>
      <w:r>
        <w:rPr>
          <w:rFonts w:ascii="David" w:hAnsi="David"/>
          <w:sz w:val="26"/>
          <w:szCs w:val="26"/>
          <w:rtl/>
        </w:rPr>
        <w:t xml:space="preserve">לאחר </w:t>
      </w:r>
      <w:r w:rsidR="00D478D1">
        <w:rPr>
          <w:rFonts w:ascii="David" w:hAnsi="David" w:hint="cs"/>
          <w:sz w:val="26"/>
          <w:szCs w:val="26"/>
          <w:rtl/>
        </w:rPr>
        <w:t xml:space="preserve">עיון בטענות הצדדים ובכתבי הטענות </w:t>
      </w:r>
      <w:r>
        <w:rPr>
          <w:rFonts w:ascii="David" w:hAnsi="David"/>
          <w:sz w:val="26"/>
          <w:szCs w:val="26"/>
          <w:rtl/>
        </w:rPr>
        <w:t xml:space="preserve">מצאתי כי </w:t>
      </w:r>
      <w:r w:rsidR="00D478D1">
        <w:rPr>
          <w:rFonts w:ascii="David" w:hAnsi="David" w:hint="cs"/>
          <w:sz w:val="26"/>
          <w:szCs w:val="26"/>
          <w:rtl/>
        </w:rPr>
        <w:t xml:space="preserve">יש מקום </w:t>
      </w:r>
      <w:r>
        <w:rPr>
          <w:rFonts w:ascii="David" w:hAnsi="David"/>
          <w:sz w:val="26"/>
          <w:szCs w:val="26"/>
          <w:rtl/>
        </w:rPr>
        <w:t>בענייננו לחרוג מהכלל ולהורות למערער להפקיד ערובה, לשם הבטחת הוצאותי</w:t>
      </w:r>
      <w:r w:rsidR="00D478D1">
        <w:rPr>
          <w:rFonts w:ascii="David" w:hAnsi="David" w:hint="cs"/>
          <w:sz w:val="26"/>
          <w:szCs w:val="26"/>
          <w:rtl/>
        </w:rPr>
        <w:t>ו</w:t>
      </w:r>
      <w:r>
        <w:rPr>
          <w:rFonts w:ascii="David" w:hAnsi="David"/>
          <w:sz w:val="26"/>
          <w:szCs w:val="26"/>
          <w:rtl/>
        </w:rPr>
        <w:t xml:space="preserve"> של המשיב, </w:t>
      </w:r>
      <w:r w:rsidR="00D478D1">
        <w:rPr>
          <w:rFonts w:ascii="David" w:hAnsi="David" w:hint="cs"/>
          <w:sz w:val="26"/>
          <w:szCs w:val="26"/>
          <w:rtl/>
        </w:rPr>
        <w:t xml:space="preserve">בראש </w:t>
      </w:r>
      <w:r w:rsidR="00D478D1">
        <w:rPr>
          <w:rFonts w:ascii="David" w:hAnsi="David" w:hint="cs"/>
          <w:sz w:val="26"/>
          <w:szCs w:val="26"/>
          <w:rtl/>
        </w:rPr>
        <w:lastRenderedPageBreak/>
        <w:t>ובראשונה בשל מצבו הכלכלי של המערער, הנמצא בהליכי חדלות פירעון, ובשים לב ל</w:t>
      </w:r>
      <w:r w:rsidRPr="00D478D1">
        <w:rPr>
          <w:rFonts w:ascii="David" w:hAnsi="David"/>
          <w:sz w:val="26"/>
          <w:szCs w:val="26"/>
          <w:rtl/>
        </w:rPr>
        <w:t>הודעת הנאמנת ב</w:t>
      </w:r>
      <w:r w:rsidR="00D478D1">
        <w:rPr>
          <w:rFonts w:ascii="David" w:hAnsi="David" w:hint="cs"/>
          <w:sz w:val="26"/>
          <w:szCs w:val="26"/>
          <w:rtl/>
        </w:rPr>
        <w:t xml:space="preserve">אשר לקופת הפירוק. לצד מצב כלכלי זה, על יסוד טענות הצדדים לגוף הערעור </w:t>
      </w:r>
      <w:r>
        <w:rPr>
          <w:rFonts w:ascii="David" w:hAnsi="David"/>
          <w:sz w:val="26"/>
          <w:szCs w:val="26"/>
          <w:rtl/>
        </w:rPr>
        <w:t xml:space="preserve">אינני סבורה כי ניתן לקבוע שסיכוי הערעור כה גבוהים, במידה שיש בהם, לבדם, כדי להצדיק פטור מהפקדת הערובה, </w:t>
      </w:r>
      <w:r w:rsidR="00D478D1">
        <w:rPr>
          <w:rFonts w:ascii="David" w:hAnsi="David" w:hint="cs"/>
          <w:sz w:val="26"/>
          <w:szCs w:val="26"/>
          <w:rtl/>
        </w:rPr>
        <w:t>במיוחד בשים לב ל</w:t>
      </w:r>
      <w:r>
        <w:rPr>
          <w:rFonts w:ascii="David" w:hAnsi="David"/>
          <w:sz w:val="26"/>
          <w:szCs w:val="26"/>
          <w:rtl/>
        </w:rPr>
        <w:t>נטל המוטל על המערער</w:t>
      </w:r>
      <w:r w:rsidR="00CE56FC">
        <w:rPr>
          <w:rFonts w:ascii="David" w:hAnsi="David" w:hint="cs"/>
          <w:sz w:val="26"/>
          <w:szCs w:val="26"/>
          <w:rtl/>
        </w:rPr>
        <w:t xml:space="preserve">, על פי </w:t>
      </w:r>
      <w:r>
        <w:rPr>
          <w:rFonts w:ascii="David" w:hAnsi="David"/>
          <w:sz w:val="26"/>
          <w:szCs w:val="26"/>
          <w:rtl/>
        </w:rPr>
        <w:t>ההלכה הפסוקה</w:t>
      </w:r>
      <w:r w:rsidR="00CE56FC">
        <w:rPr>
          <w:rFonts w:ascii="David" w:hAnsi="David" w:hint="cs"/>
          <w:sz w:val="26"/>
          <w:szCs w:val="26"/>
          <w:rtl/>
        </w:rPr>
        <w:t>,</w:t>
      </w:r>
      <w:r>
        <w:rPr>
          <w:rFonts w:ascii="David" w:hAnsi="David"/>
          <w:sz w:val="26"/>
          <w:szCs w:val="26"/>
          <w:rtl/>
        </w:rPr>
        <w:t xml:space="preserve"> להוכ</w:t>
      </w:r>
      <w:r w:rsidR="00CE56FC">
        <w:rPr>
          <w:rFonts w:ascii="David" w:hAnsi="David" w:hint="cs"/>
          <w:sz w:val="26"/>
          <w:szCs w:val="26"/>
          <w:rtl/>
        </w:rPr>
        <w:t>י</w:t>
      </w:r>
      <w:r>
        <w:rPr>
          <w:rFonts w:ascii="David" w:hAnsi="David"/>
          <w:sz w:val="26"/>
          <w:szCs w:val="26"/>
          <w:rtl/>
        </w:rPr>
        <w:t>ח</w:t>
      </w:r>
      <w:r w:rsidR="00CE56FC">
        <w:rPr>
          <w:rFonts w:ascii="David" w:hAnsi="David" w:hint="cs"/>
          <w:sz w:val="26"/>
          <w:szCs w:val="26"/>
          <w:rtl/>
        </w:rPr>
        <w:t xml:space="preserve"> א</w:t>
      </w:r>
      <w:r>
        <w:rPr>
          <w:rFonts w:ascii="David" w:hAnsi="David"/>
          <w:sz w:val="26"/>
          <w:szCs w:val="26"/>
          <w:rtl/>
        </w:rPr>
        <w:t xml:space="preserve">ת מקור גידול ההון שנקבע. </w:t>
      </w:r>
    </w:p>
    <w:p w:rsidR="00CE56FC" w:rsidRDefault="00CE56FC" w:rsidP="00CE56FC">
      <w:pPr>
        <w:numPr>
          <w:ilvl w:val="0"/>
          <w:numId w:val="1"/>
        </w:numPr>
        <w:spacing w:after="200" w:line="360" w:lineRule="auto"/>
        <w:jc w:val="both"/>
        <w:rPr>
          <w:rFonts w:ascii="David" w:hAnsi="David"/>
          <w:sz w:val="26"/>
          <w:szCs w:val="26"/>
        </w:rPr>
      </w:pPr>
      <w:r w:rsidRPr="00CE56FC">
        <w:rPr>
          <w:rFonts w:ascii="David" w:hAnsi="David" w:hint="cs"/>
          <w:sz w:val="26"/>
          <w:szCs w:val="26"/>
          <w:rtl/>
        </w:rPr>
        <w:t xml:space="preserve">כפי שציין המשיב בבקשתו, </w:t>
      </w:r>
      <w:r>
        <w:rPr>
          <w:rFonts w:ascii="David" w:hAnsi="David" w:hint="cs"/>
          <w:sz w:val="26"/>
          <w:szCs w:val="26"/>
          <w:rtl/>
        </w:rPr>
        <w:t>בשים לב לרשימת העדים צפוי ההליך להיות מורכב, ו</w:t>
      </w:r>
      <w:r w:rsidRPr="00CE56FC">
        <w:rPr>
          <w:rFonts w:ascii="David" w:hAnsi="David" w:hint="cs"/>
          <w:sz w:val="26"/>
          <w:szCs w:val="26"/>
          <w:rtl/>
        </w:rPr>
        <w:t xml:space="preserve">נוכח הסבריו של המערער באשר לגידול ההון, </w:t>
      </w:r>
      <w:r>
        <w:rPr>
          <w:rFonts w:ascii="David" w:hAnsi="David" w:hint="cs"/>
          <w:sz w:val="26"/>
          <w:szCs w:val="26"/>
          <w:rtl/>
        </w:rPr>
        <w:t xml:space="preserve">אין לכאורה כל מניעה כי המערער יטול הלוואה לשם הפקדת הערובה. </w:t>
      </w:r>
    </w:p>
    <w:p w:rsidR="0018148A" w:rsidRPr="00CE56FC" w:rsidRDefault="0018148A" w:rsidP="005F0F25">
      <w:pPr>
        <w:numPr>
          <w:ilvl w:val="0"/>
          <w:numId w:val="1"/>
        </w:numPr>
        <w:spacing w:after="200" w:line="360" w:lineRule="auto"/>
        <w:jc w:val="both"/>
        <w:rPr>
          <w:rFonts w:ascii="David" w:hAnsi="David"/>
          <w:sz w:val="26"/>
          <w:szCs w:val="26"/>
        </w:rPr>
      </w:pPr>
      <w:r w:rsidRPr="00CE56FC">
        <w:rPr>
          <w:rFonts w:ascii="David" w:hAnsi="David"/>
          <w:sz w:val="26"/>
          <w:szCs w:val="26"/>
          <w:rtl/>
        </w:rPr>
        <w:t xml:space="preserve">בנסיבות האמורות מצאתי כאמור שיש </w:t>
      </w:r>
      <w:r w:rsidR="00CE56FC">
        <w:rPr>
          <w:rFonts w:ascii="David" w:hAnsi="David" w:hint="cs"/>
          <w:sz w:val="26"/>
          <w:szCs w:val="26"/>
          <w:rtl/>
        </w:rPr>
        <w:t>לסטות מהכלל ו</w:t>
      </w:r>
      <w:r w:rsidRPr="00CE56FC">
        <w:rPr>
          <w:rFonts w:ascii="David" w:hAnsi="David"/>
          <w:sz w:val="26"/>
          <w:szCs w:val="26"/>
          <w:rtl/>
        </w:rPr>
        <w:t>לחייב את המערער בהפקדת ערובה, כדי להבטיח את תשלום הוצאותיו של המשיב, ככל שהערעור ידחה וככל שהמערער יחויב בהוצאותיו.</w:t>
      </w:r>
      <w:r w:rsidR="00CE56FC">
        <w:rPr>
          <w:rFonts w:ascii="David" w:hAnsi="David" w:hint="cs"/>
          <w:sz w:val="26"/>
          <w:szCs w:val="26"/>
          <w:rtl/>
        </w:rPr>
        <w:t xml:space="preserve"> יחד עם זאת, באיזון הנדרש בין כלל השיקולים, מצאתי שיש לחייב את המערער בהפקדה מתונה, בסכום של </w:t>
      </w:r>
      <w:r w:rsidR="005F0F25">
        <w:rPr>
          <w:rFonts w:ascii="David" w:hAnsi="David" w:hint="cs"/>
          <w:sz w:val="26"/>
          <w:szCs w:val="26"/>
          <w:rtl/>
        </w:rPr>
        <w:t xml:space="preserve">30,000 ₪. </w:t>
      </w:r>
      <w:r w:rsidR="00CE56FC">
        <w:rPr>
          <w:rFonts w:ascii="David" w:hAnsi="David" w:hint="cs"/>
          <w:sz w:val="26"/>
          <w:szCs w:val="26"/>
          <w:rtl/>
        </w:rPr>
        <w:t xml:space="preserve"> </w:t>
      </w:r>
    </w:p>
    <w:p w:rsidR="0018148A" w:rsidRDefault="0018148A" w:rsidP="005F0F25">
      <w:pPr>
        <w:spacing w:line="360" w:lineRule="auto"/>
        <w:ind w:left="360"/>
        <w:jc w:val="both"/>
        <w:rPr>
          <w:rFonts w:ascii="David" w:hAnsi="David"/>
          <w:sz w:val="26"/>
          <w:szCs w:val="26"/>
        </w:rPr>
      </w:pPr>
      <w:r>
        <w:rPr>
          <w:rFonts w:ascii="David" w:hAnsi="David"/>
          <w:b/>
          <w:bCs/>
          <w:sz w:val="26"/>
          <w:szCs w:val="26"/>
          <w:rtl/>
        </w:rPr>
        <w:t xml:space="preserve">לפיכך אני מקבלת את הבקשה, ומורה למערער להפקיד </w:t>
      </w:r>
      <w:r w:rsidR="005F0F25">
        <w:rPr>
          <w:rFonts w:ascii="David" w:hAnsi="David" w:hint="cs"/>
          <w:b/>
          <w:bCs/>
          <w:sz w:val="26"/>
          <w:szCs w:val="26"/>
          <w:rtl/>
        </w:rPr>
        <w:t xml:space="preserve">בקופת בית המשפט </w:t>
      </w:r>
      <w:r>
        <w:rPr>
          <w:rFonts w:ascii="David" w:hAnsi="David"/>
          <w:b/>
          <w:bCs/>
          <w:sz w:val="26"/>
          <w:szCs w:val="26"/>
          <w:rtl/>
        </w:rPr>
        <w:t>ערובה בסך של 30,000 ₪</w:t>
      </w:r>
      <w:r w:rsidR="005F0F25">
        <w:rPr>
          <w:rFonts w:ascii="David" w:hAnsi="David" w:hint="cs"/>
          <w:b/>
          <w:bCs/>
          <w:sz w:val="26"/>
          <w:szCs w:val="26"/>
          <w:rtl/>
        </w:rPr>
        <w:t>,</w:t>
      </w:r>
      <w:r>
        <w:rPr>
          <w:rFonts w:ascii="David" w:hAnsi="David"/>
          <w:b/>
          <w:bCs/>
          <w:sz w:val="26"/>
          <w:szCs w:val="26"/>
          <w:rtl/>
        </w:rPr>
        <w:t xml:space="preserve"> בתוך 30 ימים. ככל שהערובה לא תופקד במועד</w:t>
      </w:r>
      <w:r w:rsidR="005F0F25">
        <w:rPr>
          <w:rFonts w:ascii="David" w:hAnsi="David" w:hint="cs"/>
          <w:b/>
          <w:bCs/>
          <w:sz w:val="26"/>
          <w:szCs w:val="26"/>
          <w:rtl/>
        </w:rPr>
        <w:t xml:space="preserve"> האמור,</w:t>
      </w:r>
      <w:r>
        <w:rPr>
          <w:rFonts w:ascii="David" w:hAnsi="David"/>
          <w:b/>
          <w:bCs/>
          <w:sz w:val="26"/>
          <w:szCs w:val="26"/>
          <w:rtl/>
        </w:rPr>
        <w:t xml:space="preserve"> אורה על מחיקת הערעור.</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ספטמבר 2023</w:t>
          </w:r>
        </w:sdtContent>
      </w:sdt>
      <w:r w:rsidR="00005C8B">
        <w:rPr>
          <w:rFonts w:ascii="Arial" w:hAnsi="Arial"/>
          <w:noProof w:val="0"/>
          <w:rtl/>
        </w:rPr>
        <w:t>, בהעדר הצדדים.</w:t>
      </w:r>
    </w:p>
    <w:p w:rsidR="00C43648" w:rsidRDefault="0018462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22168013"/>
        </w:sdtPr>
        <w:sdtEndPr/>
        <w:sdtContent>
          <w:r w:rsidR="00996990">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990" w:rsidRDefault="00996990">
      <w:r>
        <w:separator/>
      </w:r>
    </w:p>
  </w:endnote>
  <w:endnote w:type="continuationSeparator" w:id="0">
    <w:p w:rsidR="00996990" w:rsidRDefault="0099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629" w:rsidRDefault="0018462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8462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84629">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629" w:rsidRDefault="001846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990" w:rsidRDefault="00996990">
      <w:r>
        <w:separator/>
      </w:r>
    </w:p>
  </w:footnote>
  <w:footnote w:type="continuationSeparator" w:id="0">
    <w:p w:rsidR="00996990" w:rsidRDefault="00996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629" w:rsidRDefault="001846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bookmarkStart w:id="1" w:name="_GoBack"/>
    <w:tr w:rsidR="00694556">
      <w:trPr>
        <w:trHeight w:val="337"/>
        <w:jc w:val="center"/>
      </w:trPr>
      <w:tc>
        <w:tcPr>
          <w:tcW w:w="8721" w:type="dxa"/>
          <w:gridSpan w:val="2"/>
        </w:tcPr>
        <w:p w:rsidR="007D45E3" w:rsidRDefault="00184629" w:rsidP="00CD516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71990-11-21</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אבו מוסא נ' מדינת ישראל</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629" w:rsidRDefault="001846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4734ED"/>
    <w:multiLevelType w:val="hybridMultilevel"/>
    <w:tmpl w:val="3C260E32"/>
    <w:lvl w:ilvl="0" w:tplc="AFEA1F64">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522065CC"/>
    <w:multiLevelType w:val="hybridMultilevel"/>
    <w:tmpl w:val="3C840AC0"/>
    <w:lvl w:ilvl="0" w:tplc="AFEA1F64">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729D3132"/>
    <w:multiLevelType w:val="hybridMultilevel"/>
    <w:tmpl w:val="9A8A1E08"/>
    <w:lvl w:ilvl="0" w:tplc="0BBA1AC0">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4083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40837&amp;lt;/CaseID&amp;gt;_x000d__x000a_        &amp;lt;CaseMonth&amp;gt;11&amp;lt;/CaseMonth&amp;gt;_x000d__x000a_        &amp;lt;CaseYear&amp;gt;2021&amp;lt;/CaseYear&amp;gt;_x000d__x000a_        &amp;lt;CaseNumber&amp;gt;71990&amp;lt;/CaseNumber&amp;gt;_x000d__x000a_        &amp;lt;NumeratorGroupID&amp;gt;1&amp;lt;/NumeratorGroupID&amp;gt;_x000d__x000a_        &amp;lt;CaseName&amp;gt;אבו מוסא נ&amp;#39; מדינת ישראל&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71990-11-21&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1-11-29T15:57:00+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CaseDesc&amp;gt;תיק הנייר הועבר ללשכת כב&amp;#39; השופטת ייוב&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40837&amp;lt;/CaseID&amp;gt;_x000d__x000a_        &amp;lt;CaseMonth&amp;gt;11&amp;lt;/CaseMonth&amp;gt;_x000d__x000a_        &amp;lt;CaseYear&amp;gt;2021&amp;lt;/CaseYear&amp;gt;_x000d__x000a_        &amp;lt;CaseNumber&amp;gt;71990&amp;lt;/CaseNumber&amp;gt;_x000d__x000a_        &amp;lt;NumeratorGroupID&amp;gt;1&amp;lt;/NumeratorGroupID&amp;gt;_x000d__x000a_        &amp;lt;CaseName&amp;gt;אבו מוסא נ&amp;#39; מדינת ישראל&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71990-11-21&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CaseNextDeterminingTask&amp;gt;140&amp;lt;/CaseNextDeterminingTask&amp;gt;_x000d__x000a_        &amp;lt;CaseOpenDate&amp;gt;2021-11-29T15:57:00+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CaseDesc&amp;gt;תיק הנייר הועבר ללשכת כב&amp;#39; השופטת ייוב&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418541&amp;lt;/DecisionID&amp;gt;_x000d__x000a_        &amp;lt;DecisionName&amp;gt;החלטה  שניתנה ע&amp;quot;י  יעל ייטב&amp;lt;/DecisionName&amp;gt;_x000d__x000a_        &amp;lt;DecisionStatusID&amp;gt;1&amp;lt;/DecisionStatusID&amp;gt;_x000d__x000a_        &amp;lt;DecisionStatusChangeDate&amp;gt;2023-07-24T13:04:09.883+03:00&amp;lt;/DecisionStatusChangeDate&amp;gt;_x000d__x000a_        &amp;lt;DecisionSignatureDate&amp;gt;2023-07-24T13:04:09+03:00&amp;lt;/DecisionSignatureDate&amp;gt;_x000d__x000a_        &amp;lt;DecisionSignatureUserID&amp;gt;056827116@GOV.IL&amp;lt;/DecisionSignatureUserID&amp;gt;_x000d__x000a_        &amp;lt;DecisionCreateDate&amp;gt;2023-07-24T13:04:10.057+03:00&amp;lt;/DecisionCreateDate&amp;gt;_x000d__x000a_        &amp;lt;DecisionChangeDate&amp;gt;2023-07-24T13:04:10.133+03:00&amp;lt;/DecisionChangeDate&amp;gt;_x000d__x000a_        &amp;lt;DecisionChangeUserID&amp;gt;04023070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778512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230708@GOV.IL&amp;lt;/DecisionCreationUserID&amp;gt;_x000d__x000a_        &amp;lt;DecisionDisplayName&amp;gt;החלטה  שניתנה ע&amp;quot;י  יעל ייטב&amp;lt;/DecisionDisplayName&amp;gt;_x000d__x000a_        &amp;lt;IsScanned&amp;gt;false&amp;lt;/IsScanned&amp;gt;_x000d__x000a_        &amp;lt;DecisionSignatureUserName&amp;gt;יעל ייטב&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46418541&amp;lt;/DecisionID&amp;gt;_x000d__x000a_        &amp;lt;CaseID&amp;gt;78840837&amp;lt;/CaseID&amp;gt;_x000d__x000a_        &amp;lt;IsOriginal&amp;gt;true&amp;lt;/IsOriginal&amp;gt;_x000d__x000a_        &amp;lt;IsDeleted&amp;gt;false&amp;lt;/IsDeleted&amp;gt;_x000d__x000a_        &amp;lt;CaseName&amp;gt;אבו מוסא נ&amp;#39; מדינת ישראל&amp;lt;/CaseName&amp;gt;_x000d__x000a_        &amp;lt;CaseDisplayIdentifier&amp;gt;71990-11-21 ע&amp;quot;מ&amp;lt;/CaseDisplayIdentifier&amp;gt;_x000d__x000a_      &amp;lt;/dt_DecisionCase&amp;gt;_x000d__x000a_    &amp;lt;/DecisionDS&amp;gt;_x000d__x000a_  &amp;lt;/diffgr:diffgram&amp;gt;_x000d__x000a_&amp;lt;/DecisionDS&amp;gt;"/>
    <w:docVar w:name="DecisionID" w:val="146418541"/>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A5A51"/>
    <w:rsid w:val="000B344B"/>
    <w:rsid w:val="000C3B0F"/>
    <w:rsid w:val="000C3B60"/>
    <w:rsid w:val="000E0DD2"/>
    <w:rsid w:val="000E3AF1"/>
    <w:rsid w:val="000F0BC8"/>
    <w:rsid w:val="000F0DD6"/>
    <w:rsid w:val="00104DD2"/>
    <w:rsid w:val="00107E6D"/>
    <w:rsid w:val="0011194C"/>
    <w:rsid w:val="0011424C"/>
    <w:rsid w:val="001173C6"/>
    <w:rsid w:val="001367BC"/>
    <w:rsid w:val="00144D2A"/>
    <w:rsid w:val="0014653E"/>
    <w:rsid w:val="00180519"/>
    <w:rsid w:val="0018148A"/>
    <w:rsid w:val="00184629"/>
    <w:rsid w:val="00191C82"/>
    <w:rsid w:val="001C4003"/>
    <w:rsid w:val="001C50E5"/>
    <w:rsid w:val="001D4DBF"/>
    <w:rsid w:val="001E75CA"/>
    <w:rsid w:val="002265FF"/>
    <w:rsid w:val="00235B97"/>
    <w:rsid w:val="00271B56"/>
    <w:rsid w:val="002C344E"/>
    <w:rsid w:val="002E75E9"/>
    <w:rsid w:val="002F0B1E"/>
    <w:rsid w:val="00307A6A"/>
    <w:rsid w:val="00307C40"/>
    <w:rsid w:val="00320433"/>
    <w:rsid w:val="00321B93"/>
    <w:rsid w:val="003230C7"/>
    <w:rsid w:val="00327E50"/>
    <w:rsid w:val="0033597A"/>
    <w:rsid w:val="00343D89"/>
    <w:rsid w:val="00362612"/>
    <w:rsid w:val="0036743F"/>
    <w:rsid w:val="003715DD"/>
    <w:rsid w:val="003823E0"/>
    <w:rsid w:val="003A4521"/>
    <w:rsid w:val="003B3E8D"/>
    <w:rsid w:val="003D1C8C"/>
    <w:rsid w:val="0040096C"/>
    <w:rsid w:val="00414F1F"/>
    <w:rsid w:val="004254DE"/>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96E64"/>
    <w:rsid w:val="005C0627"/>
    <w:rsid w:val="005F0F25"/>
    <w:rsid w:val="005F4F09"/>
    <w:rsid w:val="0061431B"/>
    <w:rsid w:val="00622BAA"/>
    <w:rsid w:val="006306CF"/>
    <w:rsid w:val="006318D8"/>
    <w:rsid w:val="00633191"/>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51B"/>
    <w:rsid w:val="0088479D"/>
    <w:rsid w:val="00891F42"/>
    <w:rsid w:val="00896889"/>
    <w:rsid w:val="008A59EE"/>
    <w:rsid w:val="008A6E97"/>
    <w:rsid w:val="008C5714"/>
    <w:rsid w:val="008D10B2"/>
    <w:rsid w:val="00903896"/>
    <w:rsid w:val="00906F3D"/>
    <w:rsid w:val="009241D8"/>
    <w:rsid w:val="0094424E"/>
    <w:rsid w:val="00955642"/>
    <w:rsid w:val="009622DF"/>
    <w:rsid w:val="0096493F"/>
    <w:rsid w:val="00967DFF"/>
    <w:rsid w:val="00994341"/>
    <w:rsid w:val="00996990"/>
    <w:rsid w:val="009D1A48"/>
    <w:rsid w:val="009E1CE7"/>
    <w:rsid w:val="009E4EA5"/>
    <w:rsid w:val="009F164B"/>
    <w:rsid w:val="009F323C"/>
    <w:rsid w:val="00A3392B"/>
    <w:rsid w:val="00A44B39"/>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70ABA"/>
    <w:rsid w:val="00C9533C"/>
    <w:rsid w:val="00CC7622"/>
    <w:rsid w:val="00CD516B"/>
    <w:rsid w:val="00CD608F"/>
    <w:rsid w:val="00CE0084"/>
    <w:rsid w:val="00CE56FC"/>
    <w:rsid w:val="00CF6BB7"/>
    <w:rsid w:val="00D04AA4"/>
    <w:rsid w:val="00D27982"/>
    <w:rsid w:val="00D33B86"/>
    <w:rsid w:val="00D44968"/>
    <w:rsid w:val="00D478D1"/>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8351D"/>
    <w:rsid w:val="00E9269D"/>
    <w:rsid w:val="00E962E3"/>
    <w:rsid w:val="00EB6C79"/>
    <w:rsid w:val="00EC37E9"/>
    <w:rsid w:val="00F038D8"/>
    <w:rsid w:val="00F06995"/>
    <w:rsid w:val="00F12D66"/>
    <w:rsid w:val="00F13407"/>
    <w:rsid w:val="00F13623"/>
    <w:rsid w:val="00F44D1D"/>
    <w:rsid w:val="00F84B6D"/>
    <w:rsid w:val="00F957E8"/>
    <w:rsid w:val="00FA311A"/>
    <w:rsid w:val="00FA5FDA"/>
    <w:rsid w:val="00FA7FD0"/>
    <w:rsid w:val="00FB6AB3"/>
    <w:rsid w:val="00FD1419"/>
    <w:rsid w:val="00FD79E4"/>
    <w:rsid w:val="00FE09EC"/>
    <w:rsid w:val="00FE2894"/>
    <w:rsid w:val="00FF0BE5"/>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4254DE"/>
    <w:rPr>
      <w:color w:val="0000FF" w:themeColor="hyperlink"/>
      <w:u w:val="single"/>
    </w:rPr>
  </w:style>
  <w:style w:type="paragraph" w:styleId="ad">
    <w:name w:val="List Paragraph"/>
    <w:basedOn w:val="a"/>
    <w:uiPriority w:val="34"/>
    <w:qFormat/>
    <w:rsid w:val="004254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9865">
      <w:bodyDiv w:val="1"/>
      <w:marLeft w:val="0"/>
      <w:marRight w:val="0"/>
      <w:marTop w:val="0"/>
      <w:marBottom w:val="0"/>
      <w:divBdr>
        <w:top w:val="none" w:sz="0" w:space="0" w:color="auto"/>
        <w:left w:val="none" w:sz="0" w:space="0" w:color="auto"/>
        <w:bottom w:val="none" w:sz="0" w:space="0" w:color="auto"/>
        <w:right w:val="none" w:sz="0" w:space="0" w:color="auto"/>
      </w:divBdr>
    </w:div>
    <w:div w:id="14682532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663538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546710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007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F135A" w:rsidP="002F135A">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F135A"/>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33C2F"/>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135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F135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78840837</CaseID>
    <CaseJudicialPersonPresentationDS>
      <CaseJudicalPersonActive>
        <CaseID>78840837</CaseID>
        <JudicialPersonID>056827116@GOV.IL</JudicialPersonID>
        <JudicialPersonTypeID>1</JudicialPersonTypeID>
        <JudicialTypeID>1</JudicialTypeID>
        <IsChairman>false</IsChairman>
        <TreatmentStartDate>2021-11-30T15:15:39.467+02:00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יובל קינן</FullName>
        <FirstName>יובל</FirstName>
        <LastName>קינן</LastName>
        <PartyPropertyName/>
        <AuthenticationTypeAndNumber>מ.ר. 16904</AuthenticationTypeAndNumber>
        <RepresentatedOrRepresentativesNames>ג'אבר אבו מוסא</RepresentatedOrRepresentativesNames>
        <RepresentatedOrRepresentativesCount>1</RepresentatedOrRepresentativesCount>
        <InvitedBy/>
        <CaseID>78840837</CaseID>
        <CaseJudicialPersonPresentationDS>
          <CaseJudicalPersonActive>
            <CaseID>78840837</CaseID>
            <JudicialPersonID>056827116@GOV.IL</JudicialPersonID>
            <JudicialPersonTypeID>1</JudicialPersonTypeID>
            <JudicialTypeID>1</JudicialTypeID>
            <IsChairman>false</IsChairman>
            <TreatmentStartDate>2021-11-30T15:15:39.467+02:00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234105686</CasePartyID>
        <PartyTypeID>2</PartyTypeID>
        <ActivityStatusID>1</ActivityStatusID>
        <PartyAliasID>24</PartyAliasID>
        <PartyAliasName>בא כוח מערערים</PartyAliasName>
        <OrdinalNumber>1</OrdinalNumber>
        <LegalEntityID>384152</LegalEntityID>
        <CaseLegalEntityID>117687283</CaseLegalEntityID>
        <AuthenticationTypeID>4</AuthenticationTypeID>
        <AuthenticationTypeName>מ.ר.</AuthenticationTypeName>
        <LegalEntityNumber>16904</LegalEntityNumber>
        <IsMainPartyType>true</IsMainPartyType>
        <CaseDisplayIdentifier>71990-11-21</CaseDisplayIdentifier>
        <CaseTypeID>10113</CaseTypeID>
        <CaseTypeName>ערעור מסים (ע"מ)</CaseTypeName>
        <CaseName>אבו מוסא נ' מדינת ישראל</CaseName>
        <FullAddress>היצירה 3 רמת גן בית שאפ</FullAddress>
        <EmailAddress>kglaw@bezeqint.net</EmailAddress>
        <MotionID>0</MotionID>
        <CasePleaID>0</CasePleaID>
        <LinkedCaseID>0</LinkedCaseID>
        <PartyID>1</PartyID>
        <CasePartyCategoryID>2</CasePartyCategoryID>
        <LegalEntityAddressID>3489585</LegalEntityAddressID>
        <LegalEntityEmailAddressID>68074509</LegalEntityEmailAddressID>
        <PleaTypeID>6</PleaTypeID>
        <LawyerOfficeName>משרד עו"ד: קינן-גודיס</LawyerOfficeName>
        <LawyerOfficeID>424796</LawyerOfficeID>
        <GroupPartyAlias/>
        <IsConverted>false</IsConverted>
        <LegalEntityNameID>5136</LegalEntityNameID>
        <RepresentatedNamesOfAssistant/>
        <LegalEntityTypeID>4</LegalEntityTypeID>
        <IsVerdictExists>false</IsVerdictExists>
        <IsAsirAzir>false</IsAsirAzir>
        <IsPublicationProhibited>false</IsPublicationProhibited>
        <PublicationProhibitedFullName>יובל קינן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ג'אבר אבו מוסא</FullName>
        <FirstName>ג'אבר</FirstName>
        <LastName>אבו מוסא</LastName>
        <PartyPropertyName/>
        <AuthenticationTypeAndNumber>ת"ז 059894170</AuthenticationTypeAndNumber>
        <RepresentatedOrRepresentativesNames>יובל קינן</RepresentatedOrRepresentativesNames>
        <RepresentatedOrRepresentativesCount>1</RepresentatedOrRepresentativesCount>
        <InvitedBy/>
        <CaseID>78840837</CaseID>
        <CaseJudicialPersonPresentationDS>
          <CaseJudicalPersonActive>
            <CaseID>78840837</CaseID>
            <JudicialPersonID>056827116@GOV.IL</JudicialPersonID>
            <JudicialPersonTypeID>1</JudicialPersonTypeID>
            <JudicialTypeID>1</JudicialTypeID>
            <IsChairman>false</IsChairman>
            <TreatmentStartDate>2021-11-30T15:15:39.467+02:00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234105685</CasePartyID>
        <PartyTypeID>1</PartyTypeID>
        <ActivityStatusID>1</ActivityStatusID>
        <PartyAliasID>5</PartyAliasID>
        <PartyAliasName>מערער</PartyAliasName>
        <OrdinalNumber>1</OrdinalNumber>
        <LegalEntityID>7548463</LegalEntityID>
        <CaseLegalEntityID>117687282</CaseLegalEntityID>
        <AuthenticationTypeID>1</AuthenticationTypeID>
        <AuthenticationTypeName>ת"ז</AuthenticationTypeName>
        <LegalEntityNumber>059894170</LegalEntityNumber>
        <IsMainPartyType>true</IsMainPartyType>
        <CaseDisplayIdentifier>71990-11-21</CaseDisplayIdentifier>
        <CaseTypeID>10113</CaseTypeID>
        <CaseTypeName>ערעור מסים (ע"מ)</CaseTypeName>
        <CaseName>אבו מוסא נ' מדינת ישראל</CaseName>
        <FullAddress>רח' אלנור 150 רהט </FullAddress>
        <MotionID>0</MotionID>
        <CasePleaID>0</CasePleaID>
        <FatherName>חסן</FatherName>
        <LinkedCaseID>0</LinkedCaseID>
        <PartyID>1</PartyID>
        <CasePartyCategoryID>2</CasePartyCategoryID>
        <LegalEntityAddressID>85886523</LegalEntityAddressID>
        <PleaTypeID>6</PleaTypeID>
        <GroupPartyAlias>מערערים</GroupPartyAlias>
        <IsConverted>false</IsConverted>
        <LegalEntityNameID>92310996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ג'אבר אבו מוסא</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78840837</CaseID>
        <CaseJudicialPersonPresentationDS>
          <CaseJudicalPersonActive>
            <CaseID>78840837</CaseID>
            <JudicialPersonID>056827116@GOV.IL</JudicialPersonID>
            <JudicialPersonTypeID>1</JudicialPersonTypeID>
            <JudicialTypeID>1</JudicialTypeID>
            <IsChairman>false</IsChairman>
            <TreatmentStartDate>2021-11-30T15:15:39.467+02:00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234105688</CasePartyID>
        <PartyTypeID>2</PartyTypeID>
        <ActivityStatusID>1</ActivityStatusID>
        <PartyAliasID>23</PartyAliasID>
        <PartyAliasName>בא כוח משיבים</PartyAliasName>
        <OrdinalNumber>1</OrdinalNumber>
        <LegalEntityID>397533</LegalEntityID>
        <CaseLegalEntityID>117687285</CaseLegalEntityID>
        <AuthenticationTypeID>4</AuthenticationTypeID>
        <AuthenticationTypeName>מ.ר.</AuthenticationTypeName>
        <LegalEntityNumber>16699</LegalEntityNumber>
        <IsMainPartyType>true</IsMainPartyType>
        <CaseDisplayIdentifier>71990-11-21</CaseDisplayIdentifier>
        <CaseTypeID>10113</CaseTypeID>
        <CaseTypeName>ערעור מסים (ע"מ)</CaseTypeName>
        <CaseName>אבו מוסא נ' מדינת ישראל</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ציון אילוז</RepresentatedOrRepresentativesNames>
        <RepresentatedOrRepresentativesCount>1</RepresentatedOrRepresentativesCount>
        <InvitedBy/>
        <CaseID>78840837</CaseID>
        <CaseJudicialPersonPresentationDS>
          <CaseJudicalPersonActive>
            <CaseID>78840837</CaseID>
            <JudicialPersonID>056827116@GOV.IL</JudicialPersonID>
            <JudicialPersonTypeID>1</JudicialPersonTypeID>
            <JudicialTypeID>1</JudicialTypeID>
            <IsChairman>false</IsChairman>
            <TreatmentStartDate>2021-11-30T15:15:39.467+02:00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234105687</CasePartyID>
        <PartyTypeID>1</PartyTypeID>
        <ActivityStatusID>1</ActivityStatusID>
        <PartyAliasID>4</PartyAliasID>
        <PartyAliasName>משיב</PartyAliasName>
        <OrdinalNumber>1</OrdinalNumber>
        <LegalEntityID>4</LegalEntityID>
        <CaseLegalEntityID>117687284</CaseLegalEntityID>
        <AuthenticationTypeID>41</AuthenticationTypeID>
        <AuthenticationTypeName>מדינת ישראל </AuthenticationTypeName>
        <LegalEntityNumber/>
        <IsMainPartyType>true</IsMainPartyType>
        <CaseDisplayIdentifier>71990-11-21</CaseDisplayIdentifier>
        <CaseTypeID>10113</CaseTypeID>
        <CaseTypeName>ערעור מסים (ע"מ)</CaseTypeName>
        <CaseName>אבו מוסא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SelectionDS>
    <DecisionName>החלטה  שניתנה ע"י  יעל ייטב</DecisionName>
    <CourtDisplayName>בית המשפט המחוזי בבאר שבע</CourtDisplayName>
    <IsCaseJudgePanel>false</IsCaseJudgePanel>
    <DecisionSignatureDate>2023-07-24T13:02:40.0693606+03:00</DecisionSignatureDate>
    <OpenCaseDate>2021-11-29T15:57:00+02:00</OpenCaseDate>
    <CaseFeeSum>0.000</CaseFeeSum>
    <DecisionTypeID>1</DecisionTypeID>
    <DecisionSignatureUserName>יעל ייטב</DecisionSignatureUserName>
    <DecisionSignatureDateHebrew>2023-07-24T13:02:40.0693606+03:00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אבו מוסא נ' מדינת ישראל</CaseName>
    <DecisionNumberInCase>6</DecisionNumberInCase>
  </dt_Decision>
  <dt_DecisionCase>
    <DecisionID>0</DecisionID>
    <CaseID>78840837</CaseID>
    <CaseJudicialPersonPresentationDS>
      <CaseJudicalPersonActive>
        <CaseID>78840837</CaseID>
        <JudicialPersonID>056827116@GOV.IL</JudicialPersonID>
        <JudicialPersonTypeID>1</JudicialPersonTypeID>
        <JudicialTypeID>1</JudicialTypeID>
        <IsChairman>false</IsChairman>
        <TreatmentStartDate>2021-11-30T15:15:39.467+02:00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יובל קינן</FullName>
        <FirstName>יובל</FirstName>
        <LastName>קינן</LastName>
        <PartyPropertyName/>
        <AuthenticationTypeAndNumber>מ.ר. 16904</AuthenticationTypeAndNumber>
        <RepresentatedOrRepresentativesNames>ג'אבר אבו מוסא</RepresentatedOrRepresentativesNames>
        <RepresentatedOrRepresentativesCount>1</RepresentatedOrRepresentativesCount>
        <InvitedBy/>
        <CaseID>78840837</CaseID>
        <CaseJudicialPersonPresentationDS>
          <CaseJudicalPersonActive>
            <CaseID>78840837</CaseID>
            <JudicialPersonID>056827116@GOV.IL</JudicialPersonID>
            <JudicialPersonTypeID>1</JudicialPersonTypeID>
            <JudicialTypeID>1</JudicialTypeID>
            <IsChairman>false</IsChairman>
            <TreatmentStartDate>2021-11-30T15:15:39.467+02:00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234105686</CasePartyID>
        <PartyTypeID>2</PartyTypeID>
        <ActivityStatusID>1</ActivityStatusID>
        <PartyAliasID>24</PartyAliasID>
        <PartyAliasName>בא כוח מערערים</PartyAliasName>
        <OrdinalNumber>1</OrdinalNumber>
        <LegalEntityID>384152</LegalEntityID>
        <CaseLegalEntityID>117687283</CaseLegalEntityID>
        <AuthenticationTypeID>4</AuthenticationTypeID>
        <AuthenticationTypeName>מ.ר.</AuthenticationTypeName>
        <LegalEntityNumber>16904</LegalEntityNumber>
        <IsMainPartyType>true</IsMainPartyType>
        <CaseDisplayIdentifier>71990-11-21</CaseDisplayIdentifier>
        <CaseTypeID>10113</CaseTypeID>
        <CaseTypeName>ערעור מסים (ע"מ)</CaseTypeName>
        <CaseName>אבו מוסא נ' מדינת ישראל</CaseName>
        <FullAddress>היצירה 3 רמת גן בית שאפ</FullAddress>
        <EmailAddress>kglaw@bezeqint.net</EmailAddress>
        <MotionID>0</MotionID>
        <CasePleaID>0</CasePleaID>
        <LinkedCaseID>0</LinkedCaseID>
        <PartyID>1</PartyID>
        <CasePartyCategoryID>2</CasePartyCategoryID>
        <LegalEntityAddressID>3489585</LegalEntityAddressID>
        <LegalEntityEmailAddressID>68074509</LegalEntityEmailAddressID>
        <PleaTypeID>6</PleaTypeID>
        <LawyerOfficeName>משרד עו"ד: קינן-גודיס</LawyerOfficeName>
        <LawyerOfficeID>424796</LawyerOfficeID>
        <GroupPartyAlias/>
        <IsConverted>false</IsConverted>
        <LegalEntityNameID>5136</LegalEntityNameID>
        <RepresentatedNamesOfAssistant/>
        <LegalEntityTypeID>4</LegalEntityTypeID>
        <IsVerdictExists>false</IsVerdictExists>
        <IsAsirAzir>false</IsAsirAzir>
        <IsPublicationProhibited>false</IsPublicationProhibited>
        <PublicationProhibitedFullName>יובל קינן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ג'אבר אבו מוסא</FullName>
        <FirstName>ג'אבר</FirstName>
        <LastName>אבו מוסא</LastName>
        <PartyPropertyName/>
        <AuthenticationTypeAndNumber>ת"ז 059894170</AuthenticationTypeAndNumber>
        <RepresentatedOrRepresentativesNames>יובל קינן</RepresentatedOrRepresentativesNames>
        <RepresentatedOrRepresentativesCount>1</RepresentatedOrRepresentativesCount>
        <InvitedBy/>
        <CaseID>78840837</CaseID>
        <CaseJudicialPersonPresentationDS>
          <CaseJudicalPersonActive>
            <CaseID>78840837</CaseID>
            <JudicialPersonID>056827116@GOV.IL</JudicialPersonID>
            <JudicialPersonTypeID>1</JudicialPersonTypeID>
            <JudicialTypeID>1</JudicialTypeID>
            <IsChairman>false</IsChairman>
            <TreatmentStartDate>2021-11-30T15:15:39.467+02:00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234105685</CasePartyID>
        <PartyTypeID>1</PartyTypeID>
        <ActivityStatusID>1</ActivityStatusID>
        <PartyAliasID>5</PartyAliasID>
        <PartyAliasName>מערער</PartyAliasName>
        <OrdinalNumber>1</OrdinalNumber>
        <LegalEntityID>7548463</LegalEntityID>
        <CaseLegalEntityID>117687282</CaseLegalEntityID>
        <AuthenticationTypeID>1</AuthenticationTypeID>
        <AuthenticationTypeName>ת"ז</AuthenticationTypeName>
        <LegalEntityNumber>059894170</LegalEntityNumber>
        <IsMainPartyType>true</IsMainPartyType>
        <CaseDisplayIdentifier>71990-11-21</CaseDisplayIdentifier>
        <CaseTypeID>10113</CaseTypeID>
        <CaseTypeName>ערעור מסים (ע"מ)</CaseTypeName>
        <CaseName>אבו מוסא נ' מדינת ישראל</CaseName>
        <FullAddress>רח' אלנור 150 רהט </FullAddress>
        <MotionID>0</MotionID>
        <CasePleaID>0</CasePleaID>
        <FatherName>חסן</FatherName>
        <LinkedCaseID>0</LinkedCaseID>
        <PartyID>1</PartyID>
        <CasePartyCategoryID>2</CasePartyCategoryID>
        <LegalEntityAddressID>85886523</LegalEntityAddressID>
        <PleaTypeID>6</PleaTypeID>
        <GroupPartyAlias>מערערים</GroupPartyAlias>
        <IsConverted>false</IsConverted>
        <LegalEntityNameID>92310996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ג'אבר אבו מוסא</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78840837</CaseID>
        <CaseJudicialPersonPresentationDS>
          <CaseJudicalPersonActive>
            <CaseID>78840837</CaseID>
            <JudicialPersonID>056827116@GOV.IL</JudicialPersonID>
            <JudicialPersonTypeID>1</JudicialPersonTypeID>
            <JudicialTypeID>1</JudicialTypeID>
            <IsChairman>false</IsChairman>
            <TreatmentStartDate>2021-11-30T15:15:39.467+02:00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234105688</CasePartyID>
        <PartyTypeID>2</PartyTypeID>
        <ActivityStatusID>1</ActivityStatusID>
        <PartyAliasID>23</PartyAliasID>
        <PartyAliasName>בא כוח משיבים</PartyAliasName>
        <OrdinalNumber>1</OrdinalNumber>
        <LegalEntityID>397533</LegalEntityID>
        <CaseLegalEntityID>117687285</CaseLegalEntityID>
        <AuthenticationTypeID>4</AuthenticationTypeID>
        <AuthenticationTypeName>מ.ר.</AuthenticationTypeName>
        <LegalEntityNumber>16699</LegalEntityNumber>
        <IsMainPartyType>true</IsMainPartyType>
        <CaseDisplayIdentifier>71990-11-21</CaseDisplayIdentifier>
        <CaseTypeID>10113</CaseTypeID>
        <CaseTypeName>ערעור מסים (ע"מ)</CaseTypeName>
        <CaseName>אבו מוסא נ' מדינת ישראל</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ציון אילוז</RepresentatedOrRepresentativesNames>
        <RepresentatedOrRepresentativesCount>1</RepresentatedOrRepresentativesCount>
        <InvitedBy/>
        <CaseID>78840837</CaseID>
        <CaseJudicialPersonPresentationDS>
          <CaseJudicalPersonActive>
            <CaseID>78840837</CaseID>
            <JudicialPersonID>056827116@GOV.IL</JudicialPersonID>
            <JudicialPersonTypeID>1</JudicialPersonTypeID>
            <JudicialTypeID>1</JudicialTypeID>
            <IsChairman>false</IsChairman>
            <TreatmentStartDate>2021-11-30T15:15:39.467+02:00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234105687</CasePartyID>
        <PartyTypeID>1</PartyTypeID>
        <ActivityStatusID>1</ActivityStatusID>
        <PartyAliasID>4</PartyAliasID>
        <PartyAliasName>משיב</PartyAliasName>
        <OrdinalNumber>1</OrdinalNumber>
        <LegalEntityID>4</LegalEntityID>
        <CaseLegalEntityID>117687284</CaseLegalEntityID>
        <AuthenticationTypeID>41</AuthenticationTypeID>
        <AuthenticationTypeName>מדינת ישראל </AuthenticationTypeName>
        <LegalEntityNumber/>
        <IsMainPartyType>true</IsMainPartyType>
        <CaseDisplayIdentifier>71990-11-21</CaseDisplayIdentifier>
        <CaseTypeID>10113</CaseTypeID>
        <CaseTypeName>ערעור מסים (ע"מ)</CaseTypeName>
        <CaseName>אבו מוסא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SelectionDS>
    <CaseName>אבו מוסא נ' מדינת ישראל</CaseName>
    <CaseDisplayIdentifier>71990-11-21</CaseDisplayIdentifier>
    <CaseInterestID>65</CaseInterestID>
    <CaseTypeShortName>ע"מ</CaseTypeShortName>
  </dt_DecisionCase>
  <dt_DecisionJudgePanel>
    <JudgeID>056827116@GOV.IL</JudgeID>
    <DisplayName>יעל ייטב</DisplayName>
    <RoleName>שופט</RoleName>
    <UserTitleName>שופטת</UserTitleName>
  </dt_DecisionJudgePanel>
  <dt_LegalEntityDetails>
    <PartyID>1</PartyID>
    <PartyTypeID>1</PartyTypeID>
    <DecisionID>0</DecisionID>
    <StreetName>רח' אלנור 150</StreetName>
    <ZipCode>8535700</ZipCode>
    <CityName>רהט</CityName>
    <FullName>ג'אבר אבו מוסא</FullName>
    <IsPublicationProhibited>false</IsPublicationProhibited>
  </dt_LegalEntityDetails>
  <dt_LegalEntityDetails>
    <Fax>03-7519001</Fax>
    <Phone>03-5665055</Phone>
    <AddressDesc>בית שאפ</AddressDesc>
    <PartyID>1</PartyID>
    <PartyTypeID>2</PartyTypeID>
    <DecisionID>0</DecisionID>
    <StreetName>היצירה 3</StreetName>
    <ZipCode>52521</ZipCode>
    <CityName>רמת גן</CityName>
    <FullName>יובל קינן</FullName>
    <Email>kglaw@bezeqint.net</Email>
    <IsPublicationProhibited>false</IsPublicationProhibited>
  </dt_LegalEntityDetails>
  <dt_LegalEntityDetails>
    <PartyID>2</PartyID>
    <PartyTypeID>1</PartyTypeID>
    <DecisionID>0</DecisionID>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שופטת יעל ייטב</CaseJudicalPerson>
  </dt_CaseJudicalPersonActive>
  <dt_Sitting>
    <PreviousMeetingDate>2022-09-12T10:00:00+03:00</PreviousMeetingDate>
    <PreviousSittingTypeID>1</PreviousSittingTypeID>
    <PreviousMeetingDisplayName>שופטת יעל ייטב</PreviousMeetingDisplayName>
    <PreviousMeetingRoleName>שופט</PreviousMeetingRoleName>
    <PreviousMeetingUserTitleName>שופטת</PreviousMeetingUserTitleName>
    <PreviousMeetingUserUPN>056827116@GOV.IL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F15DB-6959-4239-AEFD-61FD6A6A104A}">
  <ds:schemaRefs/>
</ds:datastoreItem>
</file>

<file path=customXml/itemProps2.xml><?xml version="1.0" encoding="utf-8"?>
<ds:datastoreItem xmlns:ds="http://schemas.openxmlformats.org/officeDocument/2006/customXml" ds:itemID="{67F16E9F-59D8-423F-8985-65C0AAB69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940</Words>
  <Characters>4704</Characters>
  <Application>Microsoft Office Word</Application>
  <DocSecurity>4</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2023-09-18T08:11:00Z</dcterms:created>
  <dcterms:modified xsi:type="dcterms:W3CDTF">2023-09-18T08:11:00Z</dcterms:modified>
</cp:coreProperties>
</file>